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F9D89" w14:textId="77777777" w:rsidR="00F92D87" w:rsidRDefault="00F92D87" w:rsidP="00F92D87">
      <w:pPr>
        <w:pStyle w:val="Title"/>
        <w:spacing w:before="0"/>
        <w:jc w:val="left"/>
      </w:pPr>
    </w:p>
    <w:p w14:paraId="4BDFFD73" w14:textId="5373C669" w:rsidR="00F92D87" w:rsidRDefault="002556CC" w:rsidP="00F92D87">
      <w:pPr>
        <w:pStyle w:val="Title"/>
        <w:spacing w:before="0"/>
        <w:jc w:val="left"/>
      </w:pPr>
      <w:r>
        <w:t>Scottish Statutory Debt Solutions Statistics</w:t>
      </w:r>
    </w:p>
    <w:p w14:paraId="4731615E" w14:textId="04299FB1" w:rsidR="004C3088" w:rsidRDefault="002556CC" w:rsidP="00F92D87">
      <w:pPr>
        <w:pStyle w:val="Title"/>
        <w:spacing w:before="0"/>
        <w:jc w:val="left"/>
      </w:pPr>
      <w:r>
        <w:t>April 2022 to March 2023</w:t>
      </w:r>
    </w:p>
    <w:sdt>
      <w:sdtPr>
        <w:rPr>
          <w:rFonts w:asciiTheme="minorHAnsi" w:eastAsiaTheme="minorHAnsi" w:hAnsiTheme="minorHAnsi" w:cstheme="minorBidi"/>
          <w:color w:val="auto"/>
          <w:sz w:val="24"/>
          <w:szCs w:val="24"/>
        </w:rPr>
        <w:id w:val="-1607576392"/>
        <w:docPartObj>
          <w:docPartGallery w:val="Table of Contents"/>
          <w:docPartUnique/>
        </w:docPartObj>
      </w:sdtPr>
      <w:sdtEndPr/>
      <w:sdtContent>
        <w:p w14:paraId="4C7136E1" w14:textId="77777777" w:rsidR="004C3088" w:rsidRPr="00F92D87" w:rsidRDefault="002556CC">
          <w:pPr>
            <w:pStyle w:val="TOCHeading"/>
            <w:rPr>
              <w:rFonts w:ascii="Arial" w:hAnsi="Arial" w:cs="Arial"/>
              <w:color w:val="auto"/>
              <w:sz w:val="28"/>
              <w:szCs w:val="28"/>
            </w:rPr>
          </w:pPr>
          <w:r w:rsidRPr="00F92D87">
            <w:rPr>
              <w:rFonts w:ascii="Arial" w:hAnsi="Arial" w:cs="Arial"/>
              <w:color w:val="auto"/>
              <w:sz w:val="28"/>
              <w:szCs w:val="28"/>
            </w:rPr>
            <w:t>Table of Contents</w:t>
          </w:r>
        </w:p>
        <w:p w14:paraId="2E532683" w14:textId="57835326" w:rsidR="00F92D87" w:rsidRPr="00F92D87" w:rsidRDefault="002556CC">
          <w:pPr>
            <w:pStyle w:val="TOC2"/>
            <w:tabs>
              <w:tab w:val="right" w:leader="dot" w:pos="9350"/>
            </w:tabs>
            <w:rPr>
              <w:rFonts w:ascii="Arial" w:eastAsiaTheme="minorEastAsia" w:hAnsi="Arial" w:cs="Arial"/>
              <w:noProof/>
              <w:kern w:val="2"/>
              <w:sz w:val="22"/>
              <w:szCs w:val="22"/>
              <w:lang w:val="en-GB" w:eastAsia="en-GB"/>
              <w14:ligatures w14:val="standardContextual"/>
            </w:rPr>
          </w:pPr>
          <w:r w:rsidRPr="00F92D87">
            <w:rPr>
              <w:rFonts w:ascii="Arial" w:hAnsi="Arial" w:cs="Arial"/>
            </w:rPr>
            <w:fldChar w:fldCharType="begin"/>
          </w:r>
          <w:r w:rsidRPr="00F92D87">
            <w:rPr>
              <w:rFonts w:ascii="Arial" w:hAnsi="Arial" w:cs="Arial"/>
            </w:rPr>
            <w:instrText>TOC \o "1-2" \h \z \u</w:instrText>
          </w:r>
          <w:r w:rsidRPr="00F92D87">
            <w:rPr>
              <w:rFonts w:ascii="Arial" w:hAnsi="Arial" w:cs="Arial"/>
            </w:rPr>
            <w:fldChar w:fldCharType="separate"/>
          </w:r>
          <w:hyperlink w:anchor="_Toc142064465" w:history="1">
            <w:r w:rsidR="00F92D87" w:rsidRPr="00F92D87">
              <w:rPr>
                <w:rStyle w:val="Hyperlink"/>
                <w:rFonts w:ascii="Arial" w:hAnsi="Arial" w:cs="Arial"/>
                <w:noProof/>
              </w:rPr>
              <w:t>Main Points for April 2022 to March 2023</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_Toc142064465 \h </w:instrText>
            </w:r>
            <w:r w:rsidR="00F92D87" w:rsidRPr="00F92D87">
              <w:rPr>
                <w:rFonts w:ascii="Arial" w:hAnsi="Arial" w:cs="Arial"/>
                <w:noProof/>
                <w:webHidden/>
              </w:rPr>
            </w:r>
            <w:r w:rsidR="00F92D87" w:rsidRPr="00F92D87">
              <w:rPr>
                <w:rFonts w:ascii="Arial" w:hAnsi="Arial" w:cs="Arial"/>
                <w:noProof/>
                <w:webHidden/>
              </w:rPr>
              <w:fldChar w:fldCharType="separate"/>
            </w:r>
            <w:r w:rsidR="001F4130">
              <w:rPr>
                <w:rFonts w:ascii="Arial" w:hAnsi="Arial" w:cs="Arial"/>
                <w:noProof/>
                <w:webHidden/>
              </w:rPr>
              <w:t>2</w:t>
            </w:r>
            <w:r w:rsidR="00F92D87" w:rsidRPr="00F92D87">
              <w:rPr>
                <w:rFonts w:ascii="Arial" w:hAnsi="Arial" w:cs="Arial"/>
                <w:noProof/>
                <w:webHidden/>
              </w:rPr>
              <w:fldChar w:fldCharType="end"/>
            </w:r>
          </w:hyperlink>
        </w:p>
        <w:p w14:paraId="46F94216" w14:textId="4AF81DD1"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66" w:history="1">
            <w:r w:rsidR="00F92D87" w:rsidRPr="00F92D87">
              <w:rPr>
                <w:rStyle w:val="Hyperlink"/>
                <w:rFonts w:ascii="Arial" w:hAnsi="Arial" w:cs="Arial"/>
                <w:noProof/>
              </w:rPr>
              <w:t>Things you need to know about this release</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_Toc142064466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3</w:t>
            </w:r>
            <w:r w:rsidR="00F92D87" w:rsidRPr="00F92D87">
              <w:rPr>
                <w:rFonts w:ascii="Arial" w:hAnsi="Arial" w:cs="Arial"/>
                <w:noProof/>
                <w:webHidden/>
              </w:rPr>
              <w:fldChar w:fldCharType="end"/>
            </w:r>
          </w:hyperlink>
        </w:p>
        <w:p w14:paraId="63691F4E" w14:textId="37174622"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67" w:history="1">
            <w:r w:rsidR="00F92D87" w:rsidRPr="00F92D87">
              <w:rPr>
                <w:rStyle w:val="Hyperlink"/>
                <w:rFonts w:ascii="Arial" w:hAnsi="Arial" w:cs="Arial"/>
                <w:noProof/>
              </w:rPr>
              <w:t>Statutory moratorium on diligence</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_Toc142064467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4</w:t>
            </w:r>
            <w:r w:rsidR="00F92D87" w:rsidRPr="00F92D87">
              <w:rPr>
                <w:rFonts w:ascii="Arial" w:hAnsi="Arial" w:cs="Arial"/>
                <w:noProof/>
                <w:webHidden/>
              </w:rPr>
              <w:fldChar w:fldCharType="end"/>
            </w:r>
          </w:hyperlink>
        </w:p>
        <w:p w14:paraId="52E2E0F5" w14:textId="42FD9A8B"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68" w:history="1">
            <w:r w:rsidR="00F92D87" w:rsidRPr="00F92D87">
              <w:rPr>
                <w:rStyle w:val="Hyperlink"/>
                <w:rFonts w:ascii="Arial" w:hAnsi="Arial" w:cs="Arial"/>
                <w:noProof/>
              </w:rPr>
              <w:t>Awards of Bankruptcy</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_Toc142064468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6</w:t>
            </w:r>
            <w:r w:rsidR="00F92D87" w:rsidRPr="00F92D87">
              <w:rPr>
                <w:rFonts w:ascii="Arial" w:hAnsi="Arial" w:cs="Arial"/>
                <w:noProof/>
                <w:webHidden/>
              </w:rPr>
              <w:fldChar w:fldCharType="end"/>
            </w:r>
          </w:hyperlink>
        </w:p>
        <w:p w14:paraId="64DCE6E0" w14:textId="30F109CB"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69" w:history="1">
            <w:r w:rsidR="00F92D87" w:rsidRPr="00F92D87">
              <w:rPr>
                <w:rStyle w:val="Hyperlink"/>
                <w:rFonts w:ascii="Arial" w:hAnsi="Arial" w:cs="Arial"/>
                <w:noProof/>
              </w:rPr>
              <w:t>Discharge from bankruptcy</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_Toc142064469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12</w:t>
            </w:r>
            <w:r w:rsidR="00F92D87" w:rsidRPr="00F92D87">
              <w:rPr>
                <w:rFonts w:ascii="Arial" w:hAnsi="Arial" w:cs="Arial"/>
                <w:noProof/>
                <w:webHidden/>
              </w:rPr>
              <w:fldChar w:fldCharType="end"/>
            </w:r>
          </w:hyperlink>
        </w:p>
        <w:p w14:paraId="09921158" w14:textId="7C8E7EB7"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70" w:history="1">
            <w:r w:rsidR="00F92D87" w:rsidRPr="00F92D87">
              <w:rPr>
                <w:rStyle w:val="Hyperlink"/>
                <w:rFonts w:ascii="Arial" w:hAnsi="Arial" w:cs="Arial"/>
                <w:noProof/>
              </w:rPr>
              <w:t>Protected Trust Deeds</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_Toc142064470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15</w:t>
            </w:r>
            <w:r w:rsidR="00F92D87" w:rsidRPr="00F92D87">
              <w:rPr>
                <w:rFonts w:ascii="Arial" w:hAnsi="Arial" w:cs="Arial"/>
                <w:noProof/>
                <w:webHidden/>
              </w:rPr>
              <w:fldChar w:fldCharType="end"/>
            </w:r>
          </w:hyperlink>
        </w:p>
        <w:p w14:paraId="43B01B02" w14:textId="784406A6"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71" w:history="1">
            <w:r w:rsidR="00F92D87" w:rsidRPr="00F92D87">
              <w:rPr>
                <w:rStyle w:val="Hyperlink"/>
                <w:rFonts w:ascii="Arial" w:hAnsi="Arial" w:cs="Arial"/>
                <w:noProof/>
              </w:rPr>
              <w:t>PTDs concluded</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_Toc142064471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20</w:t>
            </w:r>
            <w:r w:rsidR="00F92D87" w:rsidRPr="00F92D87">
              <w:rPr>
                <w:rFonts w:ascii="Arial" w:hAnsi="Arial" w:cs="Arial"/>
                <w:noProof/>
                <w:webHidden/>
              </w:rPr>
              <w:fldChar w:fldCharType="end"/>
            </w:r>
          </w:hyperlink>
        </w:p>
        <w:p w14:paraId="560904DA" w14:textId="34786B47"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72" w:history="1">
            <w:r w:rsidR="00F92D87" w:rsidRPr="00F92D87">
              <w:rPr>
                <w:rStyle w:val="Hyperlink"/>
                <w:rFonts w:ascii="Arial" w:hAnsi="Arial" w:cs="Arial"/>
                <w:noProof/>
              </w:rPr>
              <w:t>Debt Arrangement Scheme</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_Toc142064472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25</w:t>
            </w:r>
            <w:r w:rsidR="00F92D87" w:rsidRPr="00F92D87">
              <w:rPr>
                <w:rFonts w:ascii="Arial" w:hAnsi="Arial" w:cs="Arial"/>
                <w:noProof/>
                <w:webHidden/>
              </w:rPr>
              <w:fldChar w:fldCharType="end"/>
            </w:r>
          </w:hyperlink>
        </w:p>
        <w:p w14:paraId="330BF2F7" w14:textId="5D4AEA15"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73" w:history="1">
            <w:r w:rsidR="00F92D87" w:rsidRPr="00F92D87">
              <w:rPr>
                <w:rStyle w:val="Hyperlink"/>
                <w:rFonts w:ascii="Arial" w:hAnsi="Arial" w:cs="Arial"/>
                <w:noProof/>
              </w:rPr>
              <w:t>Outcome of DPPs</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_Toc142064473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30</w:t>
            </w:r>
            <w:r w:rsidR="00F92D87" w:rsidRPr="00F92D87">
              <w:rPr>
                <w:rFonts w:ascii="Arial" w:hAnsi="Arial" w:cs="Arial"/>
                <w:noProof/>
                <w:webHidden/>
              </w:rPr>
              <w:fldChar w:fldCharType="end"/>
            </w:r>
          </w:hyperlink>
        </w:p>
        <w:p w14:paraId="6C74CA6A" w14:textId="77DA220B"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74" w:history="1">
            <w:r w:rsidR="00F92D87" w:rsidRPr="00F92D87">
              <w:rPr>
                <w:rStyle w:val="Hyperlink"/>
                <w:rFonts w:ascii="Arial" w:hAnsi="Arial" w:cs="Arial"/>
                <w:noProof/>
              </w:rPr>
              <w:t>Corporate Insolvency</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_Toc142064474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32</w:t>
            </w:r>
            <w:r w:rsidR="00F92D87" w:rsidRPr="00F92D87">
              <w:rPr>
                <w:rFonts w:ascii="Arial" w:hAnsi="Arial" w:cs="Arial"/>
                <w:noProof/>
                <w:webHidden/>
              </w:rPr>
              <w:fldChar w:fldCharType="end"/>
            </w:r>
          </w:hyperlink>
        </w:p>
        <w:p w14:paraId="578638CC" w14:textId="1CFF7202"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75" w:history="1">
            <w:r w:rsidR="00F92D87" w:rsidRPr="00F92D87">
              <w:rPr>
                <w:rStyle w:val="Hyperlink"/>
                <w:rFonts w:ascii="Arial" w:hAnsi="Arial" w:cs="Arial"/>
                <w:noProof/>
              </w:rPr>
              <w:t>Average debt level by type of debt solutions</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_Toc142064475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34</w:t>
            </w:r>
            <w:r w:rsidR="00F92D87" w:rsidRPr="00F92D87">
              <w:rPr>
                <w:rFonts w:ascii="Arial" w:hAnsi="Arial" w:cs="Arial"/>
                <w:noProof/>
                <w:webHidden/>
              </w:rPr>
              <w:fldChar w:fldCharType="end"/>
            </w:r>
          </w:hyperlink>
        </w:p>
        <w:p w14:paraId="533DC05A" w14:textId="4703B900"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76" w:history="1">
            <w:r w:rsidR="00F92D87" w:rsidRPr="00F92D87">
              <w:rPr>
                <w:rStyle w:val="Hyperlink"/>
                <w:rFonts w:ascii="Arial" w:hAnsi="Arial" w:cs="Arial"/>
                <w:noProof/>
              </w:rPr>
              <w:t>Average contribution level by type of debt solutions</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_Toc142064476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35</w:t>
            </w:r>
            <w:r w:rsidR="00F92D87" w:rsidRPr="00F92D87">
              <w:rPr>
                <w:rFonts w:ascii="Arial" w:hAnsi="Arial" w:cs="Arial"/>
                <w:noProof/>
                <w:webHidden/>
              </w:rPr>
              <w:fldChar w:fldCharType="end"/>
            </w:r>
          </w:hyperlink>
        </w:p>
        <w:p w14:paraId="03091929" w14:textId="61AE6755"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77" w:history="1">
            <w:r w:rsidR="00F92D87" w:rsidRPr="00F92D87">
              <w:rPr>
                <w:rStyle w:val="Hyperlink"/>
                <w:rFonts w:ascii="Arial" w:hAnsi="Arial" w:cs="Arial"/>
                <w:noProof/>
              </w:rPr>
              <w:t>Background information</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_Toc142064477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37</w:t>
            </w:r>
            <w:r w:rsidR="00F92D87" w:rsidRPr="00F92D87">
              <w:rPr>
                <w:rFonts w:ascii="Arial" w:hAnsi="Arial" w:cs="Arial"/>
                <w:noProof/>
                <w:webHidden/>
              </w:rPr>
              <w:fldChar w:fldCharType="end"/>
            </w:r>
          </w:hyperlink>
        </w:p>
        <w:p w14:paraId="0F16F2EB" w14:textId="10A593FF"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78" w:history="1">
            <w:r w:rsidR="00F92D87" w:rsidRPr="00F92D87">
              <w:rPr>
                <w:rStyle w:val="Hyperlink"/>
                <w:rFonts w:ascii="Arial" w:hAnsi="Arial" w:cs="Arial"/>
                <w:noProof/>
              </w:rPr>
              <w:t>Statutory Debt Solutions legislation</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_Toc142064478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41</w:t>
            </w:r>
            <w:r w:rsidR="00F92D87" w:rsidRPr="00F92D87">
              <w:rPr>
                <w:rFonts w:ascii="Arial" w:hAnsi="Arial" w:cs="Arial"/>
                <w:noProof/>
                <w:webHidden/>
              </w:rPr>
              <w:fldChar w:fldCharType="end"/>
            </w:r>
          </w:hyperlink>
        </w:p>
        <w:p w14:paraId="7E71DD9D" w14:textId="08DC0B50"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79" w:history="1">
            <w:r w:rsidR="00F92D87" w:rsidRPr="00F92D87">
              <w:rPr>
                <w:rStyle w:val="Hyperlink"/>
                <w:rFonts w:ascii="Arial" w:hAnsi="Arial" w:cs="Arial"/>
                <w:noProof/>
              </w:rPr>
              <w:t>Glossary</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_Toc142064479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45</w:t>
            </w:r>
            <w:r w:rsidR="00F92D87" w:rsidRPr="00F92D87">
              <w:rPr>
                <w:rFonts w:ascii="Arial" w:hAnsi="Arial" w:cs="Arial"/>
                <w:noProof/>
                <w:webHidden/>
              </w:rPr>
              <w:fldChar w:fldCharType="end"/>
            </w:r>
          </w:hyperlink>
        </w:p>
        <w:p w14:paraId="714FC260" w14:textId="3BB84BD2" w:rsidR="00F92D87" w:rsidRPr="00F92D87" w:rsidRDefault="001F4130">
          <w:pPr>
            <w:pStyle w:val="TOC2"/>
            <w:tabs>
              <w:tab w:val="right" w:leader="dot" w:pos="9350"/>
            </w:tabs>
            <w:rPr>
              <w:rFonts w:ascii="Arial" w:eastAsiaTheme="minorEastAsia" w:hAnsi="Arial" w:cs="Arial"/>
              <w:noProof/>
              <w:kern w:val="2"/>
              <w:sz w:val="22"/>
              <w:szCs w:val="22"/>
              <w:lang w:val="en-GB" w:eastAsia="en-GB"/>
              <w14:ligatures w14:val="standardContextual"/>
            </w:rPr>
          </w:pPr>
          <w:hyperlink w:anchor="_Toc142064480" w:history="1">
            <w:r w:rsidR="00F92D87" w:rsidRPr="00F92D87">
              <w:rPr>
                <w:rStyle w:val="Hyperlink"/>
                <w:rFonts w:ascii="Arial" w:hAnsi="Arial" w:cs="Arial"/>
                <w:noProof/>
              </w:rPr>
              <w:t>An Experimental Statistics publication for Scotland</w:t>
            </w:r>
            <w:r w:rsidR="00F92D87" w:rsidRPr="00F92D87">
              <w:rPr>
                <w:rFonts w:ascii="Arial" w:hAnsi="Arial" w:cs="Arial"/>
                <w:noProof/>
                <w:webHidden/>
              </w:rPr>
              <w:tab/>
            </w:r>
            <w:r w:rsidR="00F92D87" w:rsidRPr="00F92D87">
              <w:rPr>
                <w:rFonts w:ascii="Arial" w:hAnsi="Arial" w:cs="Arial"/>
                <w:noProof/>
                <w:webHidden/>
              </w:rPr>
              <w:fldChar w:fldCharType="begin"/>
            </w:r>
            <w:r w:rsidR="00F92D87" w:rsidRPr="00F92D87">
              <w:rPr>
                <w:rFonts w:ascii="Arial" w:hAnsi="Arial" w:cs="Arial"/>
                <w:noProof/>
                <w:webHidden/>
              </w:rPr>
              <w:instrText xml:space="preserve"> PAGEREF _Toc142064480 \h </w:instrText>
            </w:r>
            <w:r w:rsidR="00F92D87" w:rsidRPr="00F92D87">
              <w:rPr>
                <w:rFonts w:ascii="Arial" w:hAnsi="Arial" w:cs="Arial"/>
                <w:noProof/>
                <w:webHidden/>
              </w:rPr>
            </w:r>
            <w:r w:rsidR="00F92D87" w:rsidRPr="00F92D87">
              <w:rPr>
                <w:rFonts w:ascii="Arial" w:hAnsi="Arial" w:cs="Arial"/>
                <w:noProof/>
                <w:webHidden/>
              </w:rPr>
              <w:fldChar w:fldCharType="separate"/>
            </w:r>
            <w:r>
              <w:rPr>
                <w:rFonts w:ascii="Arial" w:hAnsi="Arial" w:cs="Arial"/>
                <w:noProof/>
                <w:webHidden/>
              </w:rPr>
              <w:t>48</w:t>
            </w:r>
            <w:r w:rsidR="00F92D87" w:rsidRPr="00F92D87">
              <w:rPr>
                <w:rFonts w:ascii="Arial" w:hAnsi="Arial" w:cs="Arial"/>
                <w:noProof/>
                <w:webHidden/>
              </w:rPr>
              <w:fldChar w:fldCharType="end"/>
            </w:r>
          </w:hyperlink>
        </w:p>
        <w:p w14:paraId="1BE0BDE9" w14:textId="77777777" w:rsidR="004C3088" w:rsidRDefault="002556CC">
          <w:r w:rsidRPr="00F92D87">
            <w:rPr>
              <w:rFonts w:ascii="Arial" w:hAnsi="Arial" w:cs="Arial"/>
            </w:rPr>
            <w:fldChar w:fldCharType="end"/>
          </w:r>
        </w:p>
      </w:sdtContent>
    </w:sdt>
    <w:p w14:paraId="17E24FD1" w14:textId="77777777" w:rsidR="004C3088" w:rsidRDefault="002556CC">
      <w:pPr>
        <w:pStyle w:val="FirstParagraph"/>
      </w:pPr>
      <w:r>
        <w:rPr>
          <w:b/>
        </w:rPr>
        <w:t>Released</w:t>
      </w:r>
      <w:r>
        <w:t>: 02 August 2023</w:t>
      </w:r>
      <w:r>
        <w:br/>
      </w:r>
      <w:r>
        <w:rPr>
          <w:b/>
        </w:rPr>
        <w:t>Next update</w:t>
      </w:r>
      <w:r>
        <w:t>: 07 August 2024</w:t>
      </w:r>
    </w:p>
    <w:p w14:paraId="601CB2EE" w14:textId="77777777" w:rsidR="004C3088" w:rsidRDefault="002556CC">
      <w:pPr>
        <w:pStyle w:val="BodyText"/>
      </w:pPr>
      <w:r>
        <w:rPr>
          <w:b/>
        </w:rPr>
        <w:t>Official Statistics Label</w:t>
      </w:r>
      <w:r>
        <w:t>: Experimental Statistics</w:t>
      </w:r>
    </w:p>
    <w:p w14:paraId="48094288" w14:textId="77777777" w:rsidR="004C3088" w:rsidRDefault="002556CC">
      <w:pPr>
        <w:pStyle w:val="BodyText"/>
      </w:pPr>
      <w:r>
        <w:rPr>
          <w:b/>
        </w:rPr>
        <w:lastRenderedPageBreak/>
        <w:t>Provisional figures</w:t>
      </w:r>
      <w:r>
        <w:t>: With the exception of statistics already reported in the quarterly Scottish Statutory Debt Solutions Statistics publications, figures presented in this annual publication remain provisional and subject to revision.</w:t>
      </w:r>
    </w:p>
    <w:p w14:paraId="264A2EBA" w14:textId="77777777" w:rsidR="004C3088" w:rsidRDefault="002556CC">
      <w:pPr>
        <w:pStyle w:val="BodyText"/>
      </w:pPr>
      <w:r>
        <w:rPr>
          <w:b/>
        </w:rPr>
        <w:t>Authors</w:t>
      </w:r>
      <w:r>
        <w:t>: Catherine McAuley and Lucy Horner</w:t>
      </w:r>
    </w:p>
    <w:p w14:paraId="06EF6ED0" w14:textId="77777777" w:rsidR="004C3088" w:rsidRDefault="002556CC">
      <w:pPr>
        <w:pStyle w:val="BodyText"/>
      </w:pPr>
      <w:r>
        <w:rPr>
          <w:b/>
        </w:rPr>
        <w:t>Contact details</w:t>
      </w:r>
      <w:r>
        <w:t xml:space="preserve">: </w:t>
      </w:r>
      <w:hyperlink r:id="rId8">
        <w:r>
          <w:rPr>
            <w:rStyle w:val="Hyperlink"/>
          </w:rPr>
          <w:t>AiB Statistics team</w:t>
        </w:r>
      </w:hyperlink>
    </w:p>
    <w:p w14:paraId="2A7AE1DA" w14:textId="77777777" w:rsidR="004C3088" w:rsidRDefault="002556CC">
      <w:pPr>
        <w:pStyle w:val="BodyText"/>
      </w:pPr>
      <w:r>
        <w:rPr>
          <w:b/>
        </w:rPr>
        <w:t>Data used in this release</w:t>
      </w:r>
      <w:r>
        <w:t xml:space="preserve">: The full data for the financial year 2022-23 and earlier years (up to 2015-16 whenever available) can be found in the following link - </w:t>
      </w:r>
      <w:hyperlink r:id="rId9">
        <w:r>
          <w:rPr>
            <w:rStyle w:val="Hyperlink"/>
          </w:rPr>
          <w:t>Scottish Statutory Debt Solutions Statistics: 2022-23</w:t>
        </w:r>
      </w:hyperlink>
    </w:p>
    <w:p w14:paraId="47373C31" w14:textId="77777777" w:rsidR="004C3088" w:rsidRDefault="002556CC">
      <w:pPr>
        <w:pStyle w:val="BodyText"/>
      </w:pPr>
      <w:r>
        <w:rPr>
          <w:b/>
        </w:rPr>
        <w:t>Media enquiries</w:t>
      </w:r>
      <w:r>
        <w:t xml:space="preserve">: </w:t>
      </w:r>
      <w:hyperlink r:id="rId10">
        <w:r>
          <w:rPr>
            <w:rStyle w:val="Hyperlink"/>
          </w:rPr>
          <w:t>AiB Communications team</w:t>
        </w:r>
      </w:hyperlink>
    </w:p>
    <w:p w14:paraId="2D0CEF08" w14:textId="77777777" w:rsidR="004C3088" w:rsidRDefault="002556CC">
      <w:pPr>
        <w:pStyle w:val="BodyText"/>
      </w:pPr>
      <w:r>
        <w:rPr>
          <w:b/>
        </w:rPr>
        <w:t>Twitter</w:t>
      </w:r>
      <w:r>
        <w:t xml:space="preserve">: </w:t>
      </w:r>
      <w:hyperlink r:id="rId11">
        <w:proofErr w:type="spellStart"/>
        <w:r>
          <w:rPr>
            <w:rStyle w:val="Hyperlink"/>
          </w:rPr>
          <w:t>AiB_updates</w:t>
        </w:r>
        <w:proofErr w:type="spellEnd"/>
      </w:hyperlink>
      <w:r>
        <w:t xml:space="preserve">; </w:t>
      </w:r>
      <w:hyperlink r:id="rId12">
        <w:proofErr w:type="spellStart"/>
        <w:r>
          <w:rPr>
            <w:rStyle w:val="Hyperlink"/>
          </w:rPr>
          <w:t>ScotStat</w:t>
        </w:r>
        <w:proofErr w:type="spellEnd"/>
      </w:hyperlink>
    </w:p>
    <w:p w14:paraId="643AC777" w14:textId="77777777" w:rsidR="004C3088" w:rsidRDefault="002556CC">
      <w:pPr>
        <w:pStyle w:val="BodyText"/>
      </w:pPr>
      <w:r>
        <w:rPr>
          <w:b/>
        </w:rPr>
        <w:t>We want your feedback</w:t>
      </w:r>
      <w:r>
        <w:t xml:space="preserve">: We welcome any feedback on any aspect of these statistics and invite users to </w:t>
      </w:r>
      <w:hyperlink r:id="rId13">
        <w:r>
          <w:rPr>
            <w:rStyle w:val="Hyperlink"/>
          </w:rPr>
          <w:t>complete our feedback survey</w:t>
        </w:r>
      </w:hyperlink>
      <w:r>
        <w:t xml:space="preserve"> and/or contact us by </w:t>
      </w:r>
      <w:hyperlink r:id="rId14">
        <w:r>
          <w:rPr>
            <w:rStyle w:val="Hyperlink"/>
          </w:rPr>
          <w:t>email</w:t>
        </w:r>
      </w:hyperlink>
      <w:r>
        <w:t>.</w:t>
      </w:r>
    </w:p>
    <w:p w14:paraId="3E031DF6" w14:textId="77777777" w:rsidR="004C3088" w:rsidRDefault="001F4130">
      <w:r>
        <w:pict w14:anchorId="5296C4C2">
          <v:rect id="_x0000_i1025" style="width:0;height:1.5pt" o:hralign="center" o:hrstd="t" o:hr="t"/>
        </w:pict>
      </w:r>
    </w:p>
    <w:p w14:paraId="18A13844" w14:textId="77777777" w:rsidR="004C3088" w:rsidRDefault="002556CC">
      <w:pPr>
        <w:pStyle w:val="Heading2"/>
      </w:pPr>
      <w:bookmarkStart w:id="0" w:name="main-points-for-april-2022-to-march-2023"/>
      <w:bookmarkStart w:id="1" w:name="_Toc142064465"/>
      <w:r>
        <w:t>Main Points for April 2022 to March 2023</w:t>
      </w:r>
      <w:bookmarkEnd w:id="0"/>
      <w:bookmarkEnd w:id="1"/>
    </w:p>
    <w:p w14:paraId="7BF850A2" w14:textId="77777777" w:rsidR="004C3088" w:rsidRDefault="002556CC">
      <w:pPr>
        <w:pStyle w:val="FirstParagraph"/>
      </w:pPr>
      <w:r>
        <w:t>There were 8,001 personal insolvencies (bankruptcies and protected trust deeds (PTDs)) in Scotland in 2022-23, 232 (3.0%) more than in the previous financial year 2022-23.</w:t>
      </w:r>
    </w:p>
    <w:p w14:paraId="003A3F15" w14:textId="77777777" w:rsidR="004C3088" w:rsidRDefault="002556CC">
      <w:pPr>
        <w:pStyle w:val="BodyText"/>
      </w:pPr>
      <w:r>
        <w:t>A total of 2,357 bankruptcies were awarded during this year - a 2.3% increase on 2021-22. PTDs increased by 3.3% to 5,644 over the same period.</w:t>
      </w:r>
    </w:p>
    <w:p w14:paraId="5592AF37" w14:textId="77777777" w:rsidR="004C3088" w:rsidRDefault="002556CC">
      <w:pPr>
        <w:pStyle w:val="BodyText"/>
      </w:pPr>
      <w:r>
        <w:t>There were 3,268 applications for moratoria granted in 2022-23. This is 103 (3.3%) more than the figure granted in 2021-22.</w:t>
      </w:r>
    </w:p>
    <w:p w14:paraId="7758BFB9" w14:textId="77777777" w:rsidR="004C3088" w:rsidRDefault="002556CC">
      <w:pPr>
        <w:pStyle w:val="BodyText"/>
      </w:pPr>
      <w:r>
        <w:t>There were 4,947 debt payment programmes (DPPs) under Debt Arrangement Scheme (DAS) approved in 2022-23, compared with 4,489 approved in 2021-22, an increase of 10.2%.</w:t>
      </w:r>
    </w:p>
    <w:p w14:paraId="22C01644" w14:textId="77777777" w:rsidR="004C3088" w:rsidRDefault="002556CC">
      <w:pPr>
        <w:pStyle w:val="BodyText"/>
      </w:pPr>
      <w:r>
        <w:t>In 2022-23, around £47 million was repaid from debtors under DAS compared with the £43.8 million repaid in 2021-22.</w:t>
      </w:r>
    </w:p>
    <w:p w14:paraId="3E23047F" w14:textId="77777777" w:rsidR="004C3088" w:rsidRDefault="002556CC">
      <w:pPr>
        <w:pStyle w:val="BodyText"/>
      </w:pPr>
      <w:r>
        <w:lastRenderedPageBreak/>
        <w:t>For all bankruptcy cases (excluding Minimal Asset Process) concluded in 2022-23, the mean (average) dividend paid to ordinary creditors including those with zero dividends was 13.1 pence in the £, compared with 9.2 in 2021-22.</w:t>
      </w:r>
    </w:p>
    <w:p w14:paraId="60705526" w14:textId="77777777" w:rsidR="004C3088" w:rsidRDefault="002556CC">
      <w:pPr>
        <w:pStyle w:val="BodyText"/>
      </w:pPr>
      <w:r>
        <w:t>For all PTDs concluded in 2022-23, the mean dividend paid to ordinary creditors including those with zero dividends was 15.8 pence in the £, compared with 16.0 in 2021-22.</w:t>
      </w:r>
    </w:p>
    <w:p w14:paraId="507F8AEA" w14:textId="77777777" w:rsidR="004C3088" w:rsidRDefault="002556CC">
      <w:pPr>
        <w:pStyle w:val="BodyText"/>
      </w:pPr>
      <w:r>
        <w:t>Corporate insolvencies increased from 854 in 2021-22 to 1,132 in 2022-23.</w:t>
      </w:r>
    </w:p>
    <w:p w14:paraId="4801135E" w14:textId="77777777" w:rsidR="004C3088" w:rsidRDefault="002556CC">
      <w:pPr>
        <w:pStyle w:val="BodyText"/>
      </w:pPr>
      <w:r>
        <w:t>Chart 1 below shows the trend of personal insolvencies and DPPs under DAS since 2005-06.</w:t>
      </w:r>
    </w:p>
    <w:p w14:paraId="6C50C740" w14:textId="77777777" w:rsidR="004C3088" w:rsidRDefault="004C3088">
      <w:pPr>
        <w:pStyle w:val="BodyText"/>
      </w:pPr>
    </w:p>
    <w:p w14:paraId="71F8D4BD" w14:textId="77777777" w:rsidR="004C3088" w:rsidRDefault="002556CC">
      <w:pPr>
        <w:pStyle w:val="BodyText"/>
      </w:pPr>
      <w:r>
        <w:rPr>
          <w:noProof/>
        </w:rPr>
        <w:drawing>
          <wp:inline distT="0" distB="0" distL="0" distR="0" wp14:anchorId="7D071E4A" wp14:editId="1521F898">
            <wp:extent cx="5943600" cy="4242598"/>
            <wp:effectExtent l="0" t="0" r="0" b="0"/>
            <wp:docPr id="1" name="Picture" descr="Chart 1 shows the total number of personal insolvencies awarded and Debt Arrangement Scheme (DAS) Debt Payment Programmes (DPPs) approved between 2005-06 and 2022-23. This chart shows that the numbers of DAS DPPs exceed bankruptcies but remain lower than volumes of PTDs granted"/>
            <wp:cNvGraphicFramePr/>
            <a:graphic xmlns:a="http://schemas.openxmlformats.org/drawingml/2006/main">
              <a:graphicData uri="http://schemas.openxmlformats.org/drawingml/2006/picture">
                <pic:pic xmlns:pic="http://schemas.openxmlformats.org/drawingml/2006/picture">
                  <pic:nvPicPr>
                    <pic:cNvPr id="2" name="Picture" descr="_pub_chart_1_plot.png"/>
                    <pic:cNvPicPr>
                      <a:picLocks noChangeAspect="1" noChangeArrowheads="1"/>
                    </pic:cNvPicPr>
                  </pic:nvPicPr>
                  <pic:blipFill>
                    <a:blip r:embed="rId15"/>
                    <a:stretch>
                      <a:fillRect/>
                    </a:stretch>
                  </pic:blipFill>
                  <pic:spPr bwMode="auto">
                    <a:xfrm>
                      <a:off x="0" y="0"/>
                      <a:ext cx="5943600" cy="4242598"/>
                    </a:xfrm>
                    <a:prstGeom prst="rect">
                      <a:avLst/>
                    </a:prstGeom>
                    <a:noFill/>
                    <a:ln w="9525">
                      <a:noFill/>
                      <a:headEnd/>
                      <a:tailEnd/>
                    </a:ln>
                  </pic:spPr>
                </pic:pic>
              </a:graphicData>
            </a:graphic>
          </wp:inline>
        </w:drawing>
      </w:r>
      <w:r>
        <w:t xml:space="preserve"> Source: Scottish Statutory Debt Solutions Statistics: April to June 2023 (2023-24 Quarter 1)</w:t>
      </w:r>
    </w:p>
    <w:p w14:paraId="7206457A" w14:textId="77777777" w:rsidR="004C3088" w:rsidRDefault="004C3088">
      <w:pPr>
        <w:pStyle w:val="BodyText"/>
      </w:pPr>
    </w:p>
    <w:p w14:paraId="75A44C08" w14:textId="77777777" w:rsidR="004C3088" w:rsidRDefault="002556CC">
      <w:pPr>
        <w:pStyle w:val="Heading2"/>
      </w:pPr>
      <w:bookmarkStart w:id="2" w:name="X5684e1b8b331b8a3e186ee6790b5898fd1c326c"/>
      <w:bookmarkStart w:id="3" w:name="_Toc142064466"/>
      <w:r>
        <w:lastRenderedPageBreak/>
        <w:t>Things you need to know about this release</w:t>
      </w:r>
      <w:bookmarkEnd w:id="2"/>
      <w:bookmarkEnd w:id="3"/>
    </w:p>
    <w:p w14:paraId="3B05D2B5" w14:textId="77777777" w:rsidR="004C3088" w:rsidRDefault="002556CC">
      <w:pPr>
        <w:pStyle w:val="Heading3"/>
      </w:pPr>
      <w:bookmarkStart w:id="4" w:name="experimental-statistics-label"/>
      <w:r>
        <w:t>Experimental Statistics label</w:t>
      </w:r>
      <w:bookmarkEnd w:id="4"/>
    </w:p>
    <w:p w14:paraId="697130B5" w14:textId="77777777" w:rsidR="004C3088" w:rsidRDefault="002556CC">
      <w:pPr>
        <w:pStyle w:val="FirstParagraph"/>
      </w:pPr>
      <w:r>
        <w:t>Experimental statistics are a type of official statistics that are undergoing development. In this new publication, the experimental statistics label has been used with the aim for compliance with the Code of Practice for Statistics. These statistics are currently being developed and have been published to involve users and stakeholders in their development, and to build in quality and understanding at an early stage.</w:t>
      </w:r>
    </w:p>
    <w:p w14:paraId="3666907B" w14:textId="77777777" w:rsidR="004C3088" w:rsidRDefault="002556CC">
      <w:pPr>
        <w:pStyle w:val="BodyText"/>
      </w:pPr>
      <w:r>
        <w:t>Section 6.1 of the 2007 Statistics and Registration Service Act defines official statistics as statistics produced by the UK Statistics Authority, government departments (including executive agencies), the Devolved Administrations in Scotland, Wales and Northern Ireland, any other person acting on behalf of the Crown or any other organisation named on an Official Statistics Order.</w:t>
      </w:r>
    </w:p>
    <w:p w14:paraId="17C19AC6" w14:textId="77777777" w:rsidR="004C3088" w:rsidRDefault="002556CC">
      <w:pPr>
        <w:pStyle w:val="BodyText"/>
      </w:pPr>
      <w:r>
        <w:t>Under the Act, official statistics should comply with the Code of Practice for Statistics and fall within the scope of the Office for Statistics Regulation, which assesses their compliance against the Code of Practice.</w:t>
      </w:r>
    </w:p>
    <w:p w14:paraId="795B5A78" w14:textId="77777777" w:rsidR="004C3088" w:rsidRDefault="002556CC">
      <w:pPr>
        <w:pStyle w:val="BodyText"/>
      </w:pPr>
      <w:r>
        <w:t xml:space="preserve">Further information on the standards of official statistics in Scotland is available here - </w:t>
      </w:r>
      <w:hyperlink r:id="rId16">
        <w:r>
          <w:rPr>
            <w:rStyle w:val="Hyperlink"/>
          </w:rPr>
          <w:t>About our statistics - gov.scot</w:t>
        </w:r>
      </w:hyperlink>
      <w:r>
        <w:t>.</w:t>
      </w:r>
    </w:p>
    <w:p w14:paraId="40AAA4CE" w14:textId="77777777" w:rsidR="004C3088" w:rsidRDefault="002556CC">
      <w:pPr>
        <w:pStyle w:val="BodyText"/>
      </w:pPr>
      <w:r>
        <w:t xml:space="preserve">The exact publication date will be pre-announced through a 12-month release calendar, giving a specific release date at least four weeks in advance where practicable – </w:t>
      </w:r>
      <w:hyperlink r:id="rId17">
        <w:r>
          <w:rPr>
            <w:rStyle w:val="Hyperlink"/>
          </w:rPr>
          <w:t>Official statistics: forthcoming publications - gov.scot</w:t>
        </w:r>
      </w:hyperlink>
    </w:p>
    <w:p w14:paraId="6D814C5F" w14:textId="77777777" w:rsidR="004C3088" w:rsidRDefault="004C3088">
      <w:pPr>
        <w:pStyle w:val="BodyText"/>
      </w:pPr>
    </w:p>
    <w:p w14:paraId="145BDB0A" w14:textId="77777777" w:rsidR="004C3088" w:rsidRDefault="002556CC">
      <w:pPr>
        <w:pStyle w:val="Heading3"/>
      </w:pPr>
      <w:bookmarkStart w:id="5" w:name="development-work-programme"/>
      <w:r>
        <w:t>Development work programme</w:t>
      </w:r>
      <w:bookmarkEnd w:id="5"/>
    </w:p>
    <w:p w14:paraId="22EED24C" w14:textId="77777777" w:rsidR="004C3088" w:rsidRDefault="002556CC">
      <w:pPr>
        <w:pStyle w:val="FirstParagraph"/>
      </w:pPr>
      <w:r>
        <w:t>Over the next year, a work programme to continuously evaluate and improve the existing output will be carried out. More specifically, the work programme for will focus on three areas: User needs; Completeness of the data collected; Quality assurance processes.</w:t>
      </w:r>
    </w:p>
    <w:p w14:paraId="3F0661E9" w14:textId="77777777" w:rsidR="004C3088" w:rsidRDefault="002556CC">
      <w:pPr>
        <w:pStyle w:val="BodyText"/>
      </w:pPr>
      <w:r>
        <w:t xml:space="preserve">Part of the aim of this publication is to engage with users and potential users of our statistics in order to assess the suitability and value of the statistics released. Users are central to the statistics that AiB produce, and we want to ensure that key </w:t>
      </w:r>
      <w:r>
        <w:lastRenderedPageBreak/>
        <w:t xml:space="preserve">information about each of the statutory debt solutions is easily accessible and valued. Therefore, we are seeking your feedback on this publication, to improve the product and better support our user base. Please do get in touch with us via </w:t>
      </w:r>
      <w:hyperlink r:id="rId18">
        <w:r>
          <w:rPr>
            <w:rStyle w:val="Hyperlink"/>
          </w:rPr>
          <w:t>email</w:t>
        </w:r>
      </w:hyperlink>
      <w:r>
        <w:t xml:space="preserve"> and/or via our anonymous online feedback survey and we will share this with our stakeholders. No information about particpants is collected without their explicit consent.</w:t>
      </w:r>
    </w:p>
    <w:p w14:paraId="72E6F93D" w14:textId="77777777" w:rsidR="004C3088" w:rsidRDefault="002556CC">
      <w:pPr>
        <w:pStyle w:val="BodyText"/>
      </w:pPr>
      <w:r>
        <w:t>Currently, all statistics for the financial year 2021-22 and 2022-23 are included in this publication. Some statistics for earlier years up to 2015-16 are also included. AiB is continuously working on improving the quality and completeness of this statistical publication. The major limitation to this work is that statistics are derived from administrative systems owned by AiB. Some of these systems have been long decommissioned, and some records are permanently deleted according to AiB’s data retention and destruction policy. Hence, the data for earlier years is limited. We will include estimates for early years if these are available during the work programme.</w:t>
      </w:r>
    </w:p>
    <w:p w14:paraId="21F491F2" w14:textId="77777777" w:rsidR="004C3088" w:rsidRDefault="004C3088">
      <w:pPr>
        <w:pStyle w:val="BodyText"/>
      </w:pPr>
    </w:p>
    <w:p w14:paraId="3E8FC343" w14:textId="77777777" w:rsidR="004C3088" w:rsidRDefault="002556CC">
      <w:pPr>
        <w:pStyle w:val="Heading2"/>
      </w:pPr>
      <w:bookmarkStart w:id="6" w:name="statutory-moratorium-on-diligence"/>
      <w:bookmarkStart w:id="7" w:name="_Toc142064467"/>
      <w:r>
        <w:t>Statutory moratorium on diligence</w:t>
      </w:r>
      <w:bookmarkEnd w:id="6"/>
      <w:bookmarkEnd w:id="7"/>
    </w:p>
    <w:p w14:paraId="2C42ACB8" w14:textId="77777777" w:rsidR="004C3088" w:rsidRDefault="002556CC">
      <w:pPr>
        <w:pStyle w:val="FirstParagraph"/>
      </w:pPr>
      <w:r>
        <w:t>A moratorium provides protection from creditor debt enforcement. This protection is available to individuals as well as the following entities:</w:t>
      </w:r>
    </w:p>
    <w:p w14:paraId="14E8DE58" w14:textId="77777777" w:rsidR="004C3088" w:rsidRDefault="002556CC">
      <w:pPr>
        <w:pStyle w:val="Compact"/>
        <w:numPr>
          <w:ilvl w:val="0"/>
          <w:numId w:val="5"/>
        </w:numPr>
      </w:pPr>
      <w:r>
        <w:t>a trust in respect of debts incurred by it</w:t>
      </w:r>
    </w:p>
    <w:p w14:paraId="44A6A518" w14:textId="77777777" w:rsidR="004C3088" w:rsidRDefault="002556CC">
      <w:pPr>
        <w:pStyle w:val="Compact"/>
        <w:numPr>
          <w:ilvl w:val="0"/>
          <w:numId w:val="5"/>
        </w:numPr>
      </w:pPr>
      <w:r>
        <w:t>a partnership (including a dissolved partnership)</w:t>
      </w:r>
    </w:p>
    <w:p w14:paraId="48185C5D" w14:textId="77777777" w:rsidR="004C3088" w:rsidRDefault="002556CC">
      <w:pPr>
        <w:pStyle w:val="Compact"/>
        <w:numPr>
          <w:ilvl w:val="0"/>
          <w:numId w:val="5"/>
        </w:numPr>
      </w:pPr>
      <w:r>
        <w:t>a corporate body</w:t>
      </w:r>
    </w:p>
    <w:p w14:paraId="699C4309" w14:textId="77777777" w:rsidR="004C3088" w:rsidRDefault="002556CC">
      <w:pPr>
        <w:pStyle w:val="Compact"/>
        <w:numPr>
          <w:ilvl w:val="0"/>
          <w:numId w:val="5"/>
        </w:numPr>
      </w:pPr>
      <w:r>
        <w:t>an unincorporated body</w:t>
      </w:r>
    </w:p>
    <w:p w14:paraId="2AC495A6" w14:textId="77777777" w:rsidR="004C3088" w:rsidRDefault="002556CC">
      <w:pPr>
        <w:pStyle w:val="Compact"/>
        <w:numPr>
          <w:ilvl w:val="0"/>
          <w:numId w:val="5"/>
        </w:numPr>
      </w:pPr>
      <w:r>
        <w:t>a limited partnership (including a dissolved limited partnership) within the meaning of the Limited Partnerships Act 1907, or jointly by, as the case may be, the trustees, partners or members of any of those persons.</w:t>
      </w:r>
    </w:p>
    <w:p w14:paraId="52ADD1ED" w14:textId="77777777" w:rsidR="004C3088" w:rsidRDefault="002556CC">
      <w:pPr>
        <w:pStyle w:val="FirstParagraph"/>
      </w:pPr>
      <w:r>
        <w:t>Individuals can request a moratorium if they need a period of breathing space to consider whether to apply for bankruptcy, DAS or grant a trust deed.</w:t>
      </w:r>
    </w:p>
    <w:p w14:paraId="715B5C05" w14:textId="267CD2FC" w:rsidR="004C3088" w:rsidRDefault="002556CC">
      <w:pPr>
        <w:pStyle w:val="BodyText"/>
      </w:pPr>
      <w:r>
        <w:t xml:space="preserve">Due to the COVID-19 pandemic, emergency legislation was enacted to temporarily extend the duration of the moratorium from six weeks to six months. In addition to this, under normal circumstances a moratorium cannot be granted more than once in any 12-month period. This rule was also set aside temporarily as a result of the </w:t>
      </w:r>
      <w:r>
        <w:lastRenderedPageBreak/>
        <w:t xml:space="preserve">pandemic. This has now been reinforced as of 30 September 2021. From 1 October 2021, moratorium protection cannot be provided where an application has been made in the previous 12 months. The Coronavirus (Recovery and Reform) (Scotland) </w:t>
      </w:r>
      <w:r w:rsidR="00C45BBB">
        <w:t>Act</w:t>
      </w:r>
      <w:r>
        <w:t xml:space="preserve"> continued this enhanced protection.</w:t>
      </w:r>
    </w:p>
    <w:p w14:paraId="58E60D5F" w14:textId="77777777" w:rsidR="004C3088" w:rsidRDefault="002556CC">
      <w:pPr>
        <w:pStyle w:val="BodyText"/>
      </w:pPr>
      <w:r>
        <w:t>Overall, there were 3,268 applications for moratoria granted in 2022-23. This is 103 (3.3%) more than the figure granted in 2021-22.</w:t>
      </w:r>
    </w:p>
    <w:p w14:paraId="0C9BE289" w14:textId="77777777" w:rsidR="004C3088" w:rsidRDefault="002556CC">
      <w:pPr>
        <w:pStyle w:val="BodyText"/>
      </w:pPr>
      <w:r>
        <w:t>Chart 2 shows the consistently decreasing trend of moratorium applications since 2015-16 until 2020-21.</w:t>
      </w:r>
    </w:p>
    <w:p w14:paraId="534E6042" w14:textId="77777777" w:rsidR="004C3088" w:rsidRDefault="004C3088">
      <w:pPr>
        <w:pStyle w:val="BodyText"/>
      </w:pPr>
    </w:p>
    <w:p w14:paraId="00CFB08D" w14:textId="77777777" w:rsidR="004C3088" w:rsidRDefault="002556CC">
      <w:pPr>
        <w:pStyle w:val="CaptionedFigure"/>
      </w:pPr>
      <w:r>
        <w:rPr>
          <w:noProof/>
        </w:rPr>
        <w:drawing>
          <wp:inline distT="0" distB="0" distL="0" distR="0" wp14:anchorId="534A8E7F" wp14:editId="6E498F93">
            <wp:extent cx="5943600" cy="4242598"/>
            <wp:effectExtent l="0" t="0" r="0" b="0"/>
            <wp:docPr id="3" name="Picture" descr="Chart 2 shows the total number of statutory moratorium on diligence granted between 2015-16 and 2022-23. This chart shows that statutory moratorium on diligence granted remains above pre-pandemic levels."/>
            <wp:cNvGraphicFramePr/>
            <a:graphic xmlns:a="http://schemas.openxmlformats.org/drawingml/2006/main">
              <a:graphicData uri="http://schemas.openxmlformats.org/drawingml/2006/picture">
                <pic:pic xmlns:pic="http://schemas.openxmlformats.org/drawingml/2006/picture">
                  <pic:nvPicPr>
                    <pic:cNvPr id="4" name="Picture" descr="_pub_chart_2_plot.png"/>
                    <pic:cNvPicPr>
                      <a:picLocks noChangeAspect="1" noChangeArrowheads="1"/>
                    </pic:cNvPicPr>
                  </pic:nvPicPr>
                  <pic:blipFill>
                    <a:blip r:embed="rId19"/>
                    <a:stretch>
                      <a:fillRect/>
                    </a:stretch>
                  </pic:blipFill>
                  <pic:spPr bwMode="auto">
                    <a:xfrm>
                      <a:off x="0" y="0"/>
                      <a:ext cx="5943600" cy="4242598"/>
                    </a:xfrm>
                    <a:prstGeom prst="rect">
                      <a:avLst/>
                    </a:prstGeom>
                    <a:noFill/>
                    <a:ln w="9525">
                      <a:noFill/>
                      <a:headEnd/>
                      <a:tailEnd/>
                    </a:ln>
                  </pic:spPr>
                </pic:pic>
              </a:graphicData>
            </a:graphic>
          </wp:inline>
        </w:drawing>
      </w:r>
    </w:p>
    <w:p w14:paraId="254FF6D7" w14:textId="77777777" w:rsidR="004C3088" w:rsidRDefault="002556CC">
      <w:pPr>
        <w:pStyle w:val="BodyText"/>
      </w:pPr>
      <w:r>
        <w:t xml:space="preserve">In order to determine how many individuals who successfully applied for a moratorium between 2019-20 and 2022-23, and entered any one of the three statutory debt solutions, a data matching exercise with moratorium, bankruptcy (excluding creditor petitions), PTDs and DAS datasets was carried out. The important limitation here is, although we hold the most complete record of all statutory debt solutions and statutory </w:t>
      </w:r>
      <w:r>
        <w:lastRenderedPageBreak/>
        <w:t>moratorium on diligence, there is no unique identifier that would allow us to link any two of these records.</w:t>
      </w:r>
    </w:p>
    <w:p w14:paraId="07BD5BCB" w14:textId="77777777" w:rsidR="004C3088" w:rsidRDefault="002556CC">
      <w:pPr>
        <w:pStyle w:val="BodyText"/>
      </w:pPr>
      <w:r>
        <w:t>Therefore, it was necessary to carry out a data linking (or matching) exercise. This is a process that temporarily brings together two or more sets of administrative data in order to produce statistics on how many accepted moratoria on diligence eventually lead to a statutory debt solution. It is rare for all entries in each administrative database system to be error-free, and each administrative database system is not standardised across systems.</w:t>
      </w:r>
    </w:p>
    <w:p w14:paraId="06772B61" w14:textId="77777777" w:rsidR="004C3088" w:rsidRDefault="002556CC">
      <w:pPr>
        <w:pStyle w:val="BodyText"/>
      </w:pPr>
      <w:r>
        <w:t>For this reason, we have adopted the inexact (fuzzy) matching exercise which purpose is to identify the likelihood that two records are a true match based on whether they are similar or not on the following identifiers: first name; surname; current addresses; postcode; date of birth. Note previous addresses are not considered, and the future work programme may include previous addresses.</w:t>
      </w:r>
    </w:p>
    <w:p w14:paraId="24C7D74C" w14:textId="77777777" w:rsidR="004C3088" w:rsidRDefault="002556CC">
      <w:pPr>
        <w:pStyle w:val="BodyText"/>
      </w:pPr>
      <w:r>
        <w:t>Consequently, there is a small chance that a low number of erroneous false positive matches have been accidentally included in this analysis. Similarly, the exercise could incorrectly exclude the false negative matches that are considered true matches. While great care has been taken to ensure the figures derived from the matching exericise are accurate, caution is needed when interpreting such figures.</w:t>
      </w:r>
    </w:p>
    <w:p w14:paraId="219B34C9" w14:textId="77777777" w:rsidR="004C3088" w:rsidRDefault="002556CC">
      <w:pPr>
        <w:pStyle w:val="BodyText"/>
      </w:pPr>
      <w:r>
        <w:t>With this limitation in mind, based on the data matching exercise there were 2,495 individuals who successfully applied for a moratorium between 2019-20 and 2022-23, and entered any one of the three statutory debt solutions. Of those 2,495 individuals, around 51.6% entered bankruptcy, 14.1% entered a PTD and 34.3% entered a Debt Payment Programme (DPP) under DAS.</w:t>
      </w:r>
    </w:p>
    <w:p w14:paraId="5A44C302" w14:textId="77777777" w:rsidR="004C3088" w:rsidRDefault="004C3088">
      <w:pPr>
        <w:pStyle w:val="BodyText"/>
      </w:pPr>
    </w:p>
    <w:p w14:paraId="1AFA0237" w14:textId="77777777" w:rsidR="004C3088" w:rsidRDefault="002556CC">
      <w:pPr>
        <w:pStyle w:val="Heading2"/>
      </w:pPr>
      <w:bookmarkStart w:id="8" w:name="awards-of-bankruptcy"/>
      <w:bookmarkStart w:id="9" w:name="_Toc142064468"/>
      <w:r>
        <w:t>Awards of Bankruptcy</w:t>
      </w:r>
      <w:bookmarkEnd w:id="8"/>
      <w:bookmarkEnd w:id="9"/>
    </w:p>
    <w:p w14:paraId="0433AD55" w14:textId="77777777" w:rsidR="004C3088" w:rsidRDefault="002556CC">
      <w:pPr>
        <w:pStyle w:val="FirstParagraph"/>
      </w:pPr>
      <w:r>
        <w:t>Bankruptcy (also known as sequestration in Scotland) is a legal declaration that a person cannot pay their debts. If a person is declared bankrupt, control of some things that they own are passed to a trustee who may sell them to pay money owed to creditors.</w:t>
      </w:r>
    </w:p>
    <w:p w14:paraId="4D8D55F1" w14:textId="77777777" w:rsidR="004C3088" w:rsidRDefault="002556CC">
      <w:pPr>
        <w:pStyle w:val="BodyText"/>
      </w:pPr>
      <w:r>
        <w:lastRenderedPageBreak/>
        <w:t>Table 1 below shows a high level summary of bankruptcies in Scotland, broken down by type of bankruptcy and type of trustee organisation. There were 2,357 bankruptcies awarded in 2022-23, an increase of 2.3% when compared with 2021-22.</w:t>
      </w:r>
    </w:p>
    <w:p w14:paraId="4226E401" w14:textId="77777777" w:rsidR="004C3088" w:rsidRDefault="004C3088">
      <w:pPr>
        <w:pStyle w:val="BodyText"/>
      </w:pPr>
    </w:p>
    <w:p w14:paraId="50B16D61" w14:textId="77777777" w:rsidR="00F92D87" w:rsidRDefault="00F92D87">
      <w:pPr>
        <w:pStyle w:val="BodyText"/>
      </w:pPr>
    </w:p>
    <w:p w14:paraId="32062B39" w14:textId="77777777" w:rsidR="00F92D87" w:rsidRDefault="00F92D87">
      <w:pPr>
        <w:pStyle w:val="BodyText"/>
      </w:pPr>
    </w:p>
    <w:p w14:paraId="28B118AC" w14:textId="77777777" w:rsidR="00F92D87" w:rsidRDefault="00F92D87" w:rsidP="00F92D87">
      <w:pPr>
        <w:pStyle w:val="BodyText"/>
      </w:pPr>
    </w:p>
    <w:p w14:paraId="67AED1B3" w14:textId="2D0C4E96" w:rsidR="00F92D87" w:rsidRDefault="00F92D87" w:rsidP="00F92D87">
      <w:pPr>
        <w:pStyle w:val="BodyText"/>
      </w:pPr>
      <w:r>
        <w:t>Table 1: Number of awards of bankruptcy by financial year and type of bankruptcy</w:t>
      </w:r>
    </w:p>
    <w:p w14:paraId="56E66741" w14:textId="77777777" w:rsidR="00F92D87" w:rsidRDefault="00F92D87" w:rsidP="00F92D87">
      <w:pPr>
        <w:pStyle w:val="BodyText"/>
      </w:pPr>
    </w:p>
    <w:tbl>
      <w:tblPr>
        <w:tblW w:w="5000" w:type="pct"/>
        <w:tblLook w:val="04A0" w:firstRow="1" w:lastRow="0" w:firstColumn="1" w:lastColumn="0" w:noHBand="0" w:noVBand="1"/>
      </w:tblPr>
      <w:tblGrid>
        <w:gridCol w:w="4234"/>
        <w:gridCol w:w="831"/>
        <w:gridCol w:w="831"/>
        <w:gridCol w:w="831"/>
        <w:gridCol w:w="831"/>
        <w:gridCol w:w="831"/>
        <w:gridCol w:w="971"/>
      </w:tblGrid>
      <w:tr w:rsidR="004C3088" w:rsidRPr="00F92D87" w14:paraId="66105DFA" w14:textId="77777777" w:rsidTr="00F92D87">
        <w:trPr>
          <w:cantSplit/>
          <w:trHeight w:val="839"/>
          <w:tblHeader/>
        </w:trPr>
        <w:tc>
          <w:tcPr>
            <w:tcW w:w="2273" w:type="pct"/>
            <w:tcBorders>
              <w:bottom w:val="single" w:sz="8" w:space="0" w:color="BEBEBE"/>
            </w:tcBorders>
            <w:shd w:val="clear" w:color="auto" w:fill="FFFFFF"/>
            <w:tcMar>
              <w:top w:w="0" w:type="dxa"/>
              <w:left w:w="0" w:type="dxa"/>
              <w:bottom w:w="0" w:type="dxa"/>
              <w:right w:w="0" w:type="dxa"/>
            </w:tcMar>
            <w:vAlign w:val="center"/>
          </w:tcPr>
          <w:p w14:paraId="6905D1F4"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Financial year of the awarded date</w:t>
            </w:r>
          </w:p>
        </w:tc>
        <w:tc>
          <w:tcPr>
            <w:tcW w:w="455" w:type="pct"/>
            <w:tcBorders>
              <w:bottom w:val="single" w:sz="8" w:space="0" w:color="BEBEBE"/>
            </w:tcBorders>
            <w:shd w:val="clear" w:color="auto" w:fill="FFFFFF"/>
            <w:tcMar>
              <w:top w:w="0" w:type="dxa"/>
              <w:left w:w="0" w:type="dxa"/>
              <w:bottom w:w="0" w:type="dxa"/>
              <w:right w:w="0" w:type="dxa"/>
            </w:tcMar>
            <w:vAlign w:val="center"/>
          </w:tcPr>
          <w:p w14:paraId="1F54647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2018-19</w:t>
            </w:r>
          </w:p>
        </w:tc>
        <w:tc>
          <w:tcPr>
            <w:tcW w:w="455" w:type="pct"/>
            <w:tcBorders>
              <w:bottom w:val="single" w:sz="8" w:space="0" w:color="BEBEBE"/>
            </w:tcBorders>
            <w:shd w:val="clear" w:color="auto" w:fill="FFFFFF"/>
            <w:tcMar>
              <w:top w:w="0" w:type="dxa"/>
              <w:left w:w="0" w:type="dxa"/>
              <w:bottom w:w="0" w:type="dxa"/>
              <w:right w:w="0" w:type="dxa"/>
            </w:tcMar>
            <w:vAlign w:val="center"/>
          </w:tcPr>
          <w:p w14:paraId="039E24F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2019-20</w:t>
            </w:r>
          </w:p>
        </w:tc>
        <w:tc>
          <w:tcPr>
            <w:tcW w:w="455" w:type="pct"/>
            <w:tcBorders>
              <w:bottom w:val="single" w:sz="8" w:space="0" w:color="BEBEBE"/>
            </w:tcBorders>
            <w:shd w:val="clear" w:color="auto" w:fill="FFFFFF"/>
            <w:tcMar>
              <w:top w:w="0" w:type="dxa"/>
              <w:left w:w="0" w:type="dxa"/>
              <w:bottom w:w="0" w:type="dxa"/>
              <w:right w:w="0" w:type="dxa"/>
            </w:tcMar>
            <w:vAlign w:val="center"/>
          </w:tcPr>
          <w:p w14:paraId="64FD9A8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2020-21</w:t>
            </w:r>
          </w:p>
        </w:tc>
        <w:tc>
          <w:tcPr>
            <w:tcW w:w="455" w:type="pct"/>
            <w:tcBorders>
              <w:bottom w:val="single" w:sz="8" w:space="0" w:color="BEBEBE"/>
            </w:tcBorders>
            <w:shd w:val="clear" w:color="auto" w:fill="FFFFFF"/>
            <w:tcMar>
              <w:top w:w="0" w:type="dxa"/>
              <w:left w:w="0" w:type="dxa"/>
              <w:bottom w:w="0" w:type="dxa"/>
              <w:right w:w="0" w:type="dxa"/>
            </w:tcMar>
            <w:vAlign w:val="center"/>
          </w:tcPr>
          <w:p w14:paraId="701E3C1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2021-22</w:t>
            </w:r>
          </w:p>
        </w:tc>
        <w:tc>
          <w:tcPr>
            <w:tcW w:w="455" w:type="pct"/>
            <w:tcBorders>
              <w:bottom w:val="single" w:sz="8" w:space="0" w:color="BEBEBE"/>
            </w:tcBorders>
            <w:shd w:val="clear" w:color="auto" w:fill="FFFFFF"/>
            <w:tcMar>
              <w:top w:w="0" w:type="dxa"/>
              <w:left w:w="0" w:type="dxa"/>
              <w:bottom w:w="0" w:type="dxa"/>
              <w:right w:w="0" w:type="dxa"/>
            </w:tcMar>
            <w:vAlign w:val="center"/>
          </w:tcPr>
          <w:p w14:paraId="52F3C1F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2022-23</w:t>
            </w:r>
          </w:p>
        </w:tc>
        <w:tc>
          <w:tcPr>
            <w:tcW w:w="455" w:type="pct"/>
            <w:tcBorders>
              <w:bottom w:val="single" w:sz="8" w:space="0" w:color="BEBEBE"/>
            </w:tcBorders>
            <w:shd w:val="clear" w:color="auto" w:fill="FFFFFF"/>
            <w:tcMar>
              <w:top w:w="0" w:type="dxa"/>
              <w:left w:w="0" w:type="dxa"/>
              <w:bottom w:w="0" w:type="dxa"/>
              <w:right w:w="0" w:type="dxa"/>
            </w:tcMar>
            <w:vAlign w:val="center"/>
          </w:tcPr>
          <w:p w14:paraId="6C647CB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Annual change (%)</w:t>
            </w:r>
          </w:p>
        </w:tc>
      </w:tr>
      <w:tr w:rsidR="004C3088" w:rsidRPr="00F92D87" w14:paraId="07AAD920" w14:textId="77777777" w:rsidTr="00F92D87">
        <w:trPr>
          <w:cantSplit/>
          <w:trHeight w:val="559"/>
        </w:trPr>
        <w:tc>
          <w:tcPr>
            <w:tcW w:w="2273" w:type="pct"/>
            <w:shd w:val="clear" w:color="auto" w:fill="FFFFFF"/>
            <w:tcMar>
              <w:top w:w="0" w:type="dxa"/>
              <w:left w:w="0" w:type="dxa"/>
              <w:bottom w:w="0" w:type="dxa"/>
              <w:right w:w="0" w:type="dxa"/>
            </w:tcMar>
            <w:vAlign w:val="center"/>
          </w:tcPr>
          <w:p w14:paraId="1CF22B58"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Creditor petitions</w:t>
            </w:r>
          </w:p>
        </w:tc>
        <w:tc>
          <w:tcPr>
            <w:tcW w:w="455" w:type="pct"/>
            <w:shd w:val="clear" w:color="auto" w:fill="FFFFFF"/>
            <w:tcMar>
              <w:top w:w="0" w:type="dxa"/>
              <w:left w:w="0" w:type="dxa"/>
              <w:bottom w:w="0" w:type="dxa"/>
              <w:right w:w="0" w:type="dxa"/>
            </w:tcMar>
            <w:vAlign w:val="center"/>
          </w:tcPr>
          <w:p w14:paraId="11759B8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994</w:t>
            </w:r>
          </w:p>
        </w:tc>
        <w:tc>
          <w:tcPr>
            <w:tcW w:w="455" w:type="pct"/>
            <w:shd w:val="clear" w:color="auto" w:fill="FFFFFF"/>
            <w:tcMar>
              <w:top w:w="0" w:type="dxa"/>
              <w:left w:w="0" w:type="dxa"/>
              <w:bottom w:w="0" w:type="dxa"/>
              <w:right w:w="0" w:type="dxa"/>
            </w:tcMar>
            <w:vAlign w:val="center"/>
          </w:tcPr>
          <w:p w14:paraId="67DD15C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910</w:t>
            </w:r>
          </w:p>
        </w:tc>
        <w:tc>
          <w:tcPr>
            <w:tcW w:w="455" w:type="pct"/>
            <w:shd w:val="clear" w:color="auto" w:fill="FFFFFF"/>
            <w:tcMar>
              <w:top w:w="0" w:type="dxa"/>
              <w:left w:w="0" w:type="dxa"/>
              <w:bottom w:w="0" w:type="dxa"/>
              <w:right w:w="0" w:type="dxa"/>
            </w:tcMar>
            <w:vAlign w:val="center"/>
          </w:tcPr>
          <w:p w14:paraId="2798B3C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164</w:t>
            </w:r>
          </w:p>
        </w:tc>
        <w:tc>
          <w:tcPr>
            <w:tcW w:w="455" w:type="pct"/>
            <w:shd w:val="clear" w:color="auto" w:fill="FFFFFF"/>
            <w:tcMar>
              <w:top w:w="0" w:type="dxa"/>
              <w:left w:w="0" w:type="dxa"/>
              <w:bottom w:w="0" w:type="dxa"/>
              <w:right w:w="0" w:type="dxa"/>
            </w:tcMar>
            <w:vAlign w:val="center"/>
          </w:tcPr>
          <w:p w14:paraId="2834CBC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136</w:t>
            </w:r>
          </w:p>
        </w:tc>
        <w:tc>
          <w:tcPr>
            <w:tcW w:w="455" w:type="pct"/>
            <w:shd w:val="clear" w:color="auto" w:fill="FFFFFF"/>
            <w:tcMar>
              <w:top w:w="0" w:type="dxa"/>
              <w:left w:w="0" w:type="dxa"/>
              <w:bottom w:w="0" w:type="dxa"/>
              <w:right w:w="0" w:type="dxa"/>
            </w:tcMar>
            <w:vAlign w:val="center"/>
          </w:tcPr>
          <w:p w14:paraId="0C79806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331</w:t>
            </w:r>
          </w:p>
        </w:tc>
        <w:tc>
          <w:tcPr>
            <w:tcW w:w="455" w:type="pct"/>
            <w:shd w:val="clear" w:color="auto" w:fill="FFFFFF"/>
            <w:tcMar>
              <w:top w:w="0" w:type="dxa"/>
              <w:left w:w="0" w:type="dxa"/>
              <w:bottom w:w="0" w:type="dxa"/>
              <w:right w:w="0" w:type="dxa"/>
            </w:tcMar>
            <w:vAlign w:val="center"/>
          </w:tcPr>
          <w:p w14:paraId="2C3EFE3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143.4%</w:t>
            </w:r>
          </w:p>
        </w:tc>
      </w:tr>
      <w:tr w:rsidR="004C3088" w:rsidRPr="00F92D87" w14:paraId="5952398A" w14:textId="77777777" w:rsidTr="00F92D87">
        <w:trPr>
          <w:cantSplit/>
          <w:trHeight w:val="430"/>
        </w:trPr>
        <w:tc>
          <w:tcPr>
            <w:tcW w:w="2273" w:type="pct"/>
            <w:shd w:val="clear" w:color="auto" w:fill="FFFFFF"/>
            <w:tcMar>
              <w:top w:w="0" w:type="dxa"/>
              <w:left w:w="0" w:type="dxa"/>
              <w:bottom w:w="0" w:type="dxa"/>
              <w:right w:w="0" w:type="dxa"/>
            </w:tcMar>
            <w:vAlign w:val="center"/>
          </w:tcPr>
          <w:p w14:paraId="405857FF"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trustee: AiB</w:t>
            </w:r>
          </w:p>
        </w:tc>
        <w:tc>
          <w:tcPr>
            <w:tcW w:w="455" w:type="pct"/>
            <w:shd w:val="clear" w:color="auto" w:fill="FFFFFF"/>
            <w:tcMar>
              <w:top w:w="0" w:type="dxa"/>
              <w:left w:w="0" w:type="dxa"/>
              <w:bottom w:w="0" w:type="dxa"/>
              <w:right w:w="0" w:type="dxa"/>
            </w:tcMar>
            <w:vAlign w:val="center"/>
          </w:tcPr>
          <w:p w14:paraId="1834B46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787</w:t>
            </w:r>
          </w:p>
        </w:tc>
        <w:tc>
          <w:tcPr>
            <w:tcW w:w="455" w:type="pct"/>
            <w:shd w:val="clear" w:color="auto" w:fill="FFFFFF"/>
            <w:tcMar>
              <w:top w:w="0" w:type="dxa"/>
              <w:left w:w="0" w:type="dxa"/>
              <w:bottom w:w="0" w:type="dxa"/>
              <w:right w:w="0" w:type="dxa"/>
            </w:tcMar>
            <w:vAlign w:val="center"/>
          </w:tcPr>
          <w:p w14:paraId="38F9499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654</w:t>
            </w:r>
          </w:p>
        </w:tc>
        <w:tc>
          <w:tcPr>
            <w:tcW w:w="455" w:type="pct"/>
            <w:shd w:val="clear" w:color="auto" w:fill="FFFFFF"/>
            <w:tcMar>
              <w:top w:w="0" w:type="dxa"/>
              <w:left w:w="0" w:type="dxa"/>
              <w:bottom w:w="0" w:type="dxa"/>
              <w:right w:w="0" w:type="dxa"/>
            </w:tcMar>
            <w:vAlign w:val="center"/>
          </w:tcPr>
          <w:p w14:paraId="4E897AA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101</w:t>
            </w:r>
          </w:p>
        </w:tc>
        <w:tc>
          <w:tcPr>
            <w:tcW w:w="455" w:type="pct"/>
            <w:shd w:val="clear" w:color="auto" w:fill="FFFFFF"/>
            <w:tcMar>
              <w:top w:w="0" w:type="dxa"/>
              <w:left w:w="0" w:type="dxa"/>
              <w:bottom w:w="0" w:type="dxa"/>
              <w:right w:w="0" w:type="dxa"/>
            </w:tcMar>
            <w:vAlign w:val="center"/>
          </w:tcPr>
          <w:p w14:paraId="0B332D1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106</w:t>
            </w:r>
          </w:p>
        </w:tc>
        <w:tc>
          <w:tcPr>
            <w:tcW w:w="455" w:type="pct"/>
            <w:shd w:val="clear" w:color="auto" w:fill="FFFFFF"/>
            <w:tcMar>
              <w:top w:w="0" w:type="dxa"/>
              <w:left w:w="0" w:type="dxa"/>
              <w:bottom w:w="0" w:type="dxa"/>
              <w:right w:w="0" w:type="dxa"/>
            </w:tcMar>
            <w:vAlign w:val="center"/>
          </w:tcPr>
          <w:p w14:paraId="4556803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254</w:t>
            </w:r>
          </w:p>
        </w:tc>
        <w:tc>
          <w:tcPr>
            <w:tcW w:w="455" w:type="pct"/>
            <w:shd w:val="clear" w:color="auto" w:fill="FFFFFF"/>
            <w:tcMar>
              <w:top w:w="0" w:type="dxa"/>
              <w:left w:w="0" w:type="dxa"/>
              <w:bottom w:w="0" w:type="dxa"/>
              <w:right w:w="0" w:type="dxa"/>
            </w:tcMar>
            <w:vAlign w:val="center"/>
          </w:tcPr>
          <w:p w14:paraId="228166D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139.6%</w:t>
            </w:r>
          </w:p>
        </w:tc>
      </w:tr>
      <w:tr w:rsidR="004C3088" w:rsidRPr="00F92D87" w14:paraId="038BC760" w14:textId="77777777" w:rsidTr="00F92D87">
        <w:trPr>
          <w:cantSplit/>
          <w:trHeight w:val="279"/>
        </w:trPr>
        <w:tc>
          <w:tcPr>
            <w:tcW w:w="2273" w:type="pct"/>
            <w:shd w:val="clear" w:color="auto" w:fill="FFFFFF"/>
            <w:tcMar>
              <w:top w:w="0" w:type="dxa"/>
              <w:left w:w="0" w:type="dxa"/>
              <w:bottom w:w="0" w:type="dxa"/>
              <w:right w:w="0" w:type="dxa"/>
            </w:tcMar>
            <w:vAlign w:val="center"/>
          </w:tcPr>
          <w:p w14:paraId="42764643"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trustee: Insolvency practitioner</w:t>
            </w:r>
          </w:p>
        </w:tc>
        <w:tc>
          <w:tcPr>
            <w:tcW w:w="455" w:type="pct"/>
            <w:shd w:val="clear" w:color="auto" w:fill="FFFFFF"/>
            <w:tcMar>
              <w:top w:w="0" w:type="dxa"/>
              <w:left w:w="0" w:type="dxa"/>
              <w:bottom w:w="0" w:type="dxa"/>
              <w:right w:w="0" w:type="dxa"/>
            </w:tcMar>
            <w:vAlign w:val="center"/>
          </w:tcPr>
          <w:p w14:paraId="4E725E1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207</w:t>
            </w:r>
          </w:p>
        </w:tc>
        <w:tc>
          <w:tcPr>
            <w:tcW w:w="455" w:type="pct"/>
            <w:shd w:val="clear" w:color="auto" w:fill="FFFFFF"/>
            <w:tcMar>
              <w:top w:w="0" w:type="dxa"/>
              <w:left w:w="0" w:type="dxa"/>
              <w:bottom w:w="0" w:type="dxa"/>
              <w:right w:w="0" w:type="dxa"/>
            </w:tcMar>
            <w:vAlign w:val="center"/>
          </w:tcPr>
          <w:p w14:paraId="14908BD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256</w:t>
            </w:r>
          </w:p>
        </w:tc>
        <w:tc>
          <w:tcPr>
            <w:tcW w:w="455" w:type="pct"/>
            <w:shd w:val="clear" w:color="auto" w:fill="FFFFFF"/>
            <w:tcMar>
              <w:top w:w="0" w:type="dxa"/>
              <w:left w:w="0" w:type="dxa"/>
              <w:bottom w:w="0" w:type="dxa"/>
              <w:right w:w="0" w:type="dxa"/>
            </w:tcMar>
            <w:vAlign w:val="center"/>
          </w:tcPr>
          <w:p w14:paraId="0850CD9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63</w:t>
            </w:r>
          </w:p>
        </w:tc>
        <w:tc>
          <w:tcPr>
            <w:tcW w:w="455" w:type="pct"/>
            <w:shd w:val="clear" w:color="auto" w:fill="FFFFFF"/>
            <w:tcMar>
              <w:top w:w="0" w:type="dxa"/>
              <w:left w:w="0" w:type="dxa"/>
              <w:bottom w:w="0" w:type="dxa"/>
              <w:right w:w="0" w:type="dxa"/>
            </w:tcMar>
            <w:vAlign w:val="center"/>
          </w:tcPr>
          <w:p w14:paraId="1EEC96B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30</w:t>
            </w:r>
          </w:p>
        </w:tc>
        <w:tc>
          <w:tcPr>
            <w:tcW w:w="455" w:type="pct"/>
            <w:shd w:val="clear" w:color="auto" w:fill="FFFFFF"/>
            <w:tcMar>
              <w:top w:w="0" w:type="dxa"/>
              <w:left w:w="0" w:type="dxa"/>
              <w:bottom w:w="0" w:type="dxa"/>
              <w:right w:w="0" w:type="dxa"/>
            </w:tcMar>
            <w:vAlign w:val="center"/>
          </w:tcPr>
          <w:p w14:paraId="755FABE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77</w:t>
            </w:r>
          </w:p>
        </w:tc>
        <w:tc>
          <w:tcPr>
            <w:tcW w:w="455" w:type="pct"/>
            <w:shd w:val="clear" w:color="auto" w:fill="FFFFFF"/>
            <w:tcMar>
              <w:top w:w="0" w:type="dxa"/>
              <w:left w:w="0" w:type="dxa"/>
              <w:bottom w:w="0" w:type="dxa"/>
              <w:right w:w="0" w:type="dxa"/>
            </w:tcMar>
            <w:vAlign w:val="center"/>
          </w:tcPr>
          <w:p w14:paraId="72535FB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156.7%</w:t>
            </w:r>
          </w:p>
        </w:tc>
      </w:tr>
      <w:tr w:rsidR="004C3088" w:rsidRPr="00F92D87" w14:paraId="61E10EBF" w14:textId="77777777" w:rsidTr="00F92D87">
        <w:trPr>
          <w:cantSplit/>
          <w:trHeight w:val="653"/>
        </w:trPr>
        <w:tc>
          <w:tcPr>
            <w:tcW w:w="2273" w:type="pct"/>
            <w:shd w:val="clear" w:color="auto" w:fill="FFFFFF"/>
            <w:tcMar>
              <w:top w:w="0" w:type="dxa"/>
              <w:left w:w="0" w:type="dxa"/>
              <w:bottom w:w="0" w:type="dxa"/>
              <w:right w:w="0" w:type="dxa"/>
            </w:tcMar>
            <w:vAlign w:val="center"/>
          </w:tcPr>
          <w:p w14:paraId="246C63E6"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Trust deed petitions</w:t>
            </w:r>
          </w:p>
        </w:tc>
        <w:tc>
          <w:tcPr>
            <w:tcW w:w="455" w:type="pct"/>
            <w:shd w:val="clear" w:color="auto" w:fill="FFFFFF"/>
            <w:tcMar>
              <w:top w:w="0" w:type="dxa"/>
              <w:left w:w="0" w:type="dxa"/>
              <w:bottom w:w="0" w:type="dxa"/>
              <w:right w:w="0" w:type="dxa"/>
            </w:tcMar>
            <w:vAlign w:val="center"/>
          </w:tcPr>
          <w:p w14:paraId="6D4146F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10</w:t>
            </w:r>
          </w:p>
        </w:tc>
        <w:tc>
          <w:tcPr>
            <w:tcW w:w="455" w:type="pct"/>
            <w:shd w:val="clear" w:color="auto" w:fill="FFFFFF"/>
            <w:tcMar>
              <w:top w:w="0" w:type="dxa"/>
              <w:left w:w="0" w:type="dxa"/>
              <w:bottom w:w="0" w:type="dxa"/>
              <w:right w:w="0" w:type="dxa"/>
            </w:tcMar>
            <w:vAlign w:val="center"/>
          </w:tcPr>
          <w:p w14:paraId="7C4C7ED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w:t>
            </w:r>
          </w:p>
        </w:tc>
        <w:tc>
          <w:tcPr>
            <w:tcW w:w="455" w:type="pct"/>
            <w:shd w:val="clear" w:color="auto" w:fill="FFFFFF"/>
            <w:tcMar>
              <w:top w:w="0" w:type="dxa"/>
              <w:left w:w="0" w:type="dxa"/>
              <w:bottom w:w="0" w:type="dxa"/>
              <w:right w:w="0" w:type="dxa"/>
            </w:tcMar>
            <w:vAlign w:val="center"/>
          </w:tcPr>
          <w:p w14:paraId="1DAA195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0</w:t>
            </w:r>
          </w:p>
        </w:tc>
        <w:tc>
          <w:tcPr>
            <w:tcW w:w="455" w:type="pct"/>
            <w:shd w:val="clear" w:color="auto" w:fill="FFFFFF"/>
            <w:tcMar>
              <w:top w:w="0" w:type="dxa"/>
              <w:left w:w="0" w:type="dxa"/>
              <w:bottom w:w="0" w:type="dxa"/>
              <w:right w:w="0" w:type="dxa"/>
            </w:tcMar>
            <w:vAlign w:val="center"/>
          </w:tcPr>
          <w:p w14:paraId="219A79A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0</w:t>
            </w:r>
          </w:p>
        </w:tc>
        <w:tc>
          <w:tcPr>
            <w:tcW w:w="455" w:type="pct"/>
            <w:shd w:val="clear" w:color="auto" w:fill="FFFFFF"/>
            <w:tcMar>
              <w:top w:w="0" w:type="dxa"/>
              <w:left w:w="0" w:type="dxa"/>
              <w:bottom w:w="0" w:type="dxa"/>
              <w:right w:w="0" w:type="dxa"/>
            </w:tcMar>
            <w:vAlign w:val="center"/>
          </w:tcPr>
          <w:p w14:paraId="3E3A59E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0</w:t>
            </w:r>
          </w:p>
        </w:tc>
        <w:tc>
          <w:tcPr>
            <w:tcW w:w="455" w:type="pct"/>
            <w:shd w:val="clear" w:color="auto" w:fill="FFFFFF"/>
            <w:tcMar>
              <w:top w:w="0" w:type="dxa"/>
              <w:left w:w="0" w:type="dxa"/>
              <w:bottom w:w="0" w:type="dxa"/>
              <w:right w:w="0" w:type="dxa"/>
            </w:tcMar>
            <w:vAlign w:val="center"/>
          </w:tcPr>
          <w:p w14:paraId="5F97E96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[z]</w:t>
            </w:r>
          </w:p>
        </w:tc>
      </w:tr>
      <w:tr w:rsidR="004C3088" w:rsidRPr="00F92D87" w14:paraId="0EA75CD4" w14:textId="77777777" w:rsidTr="00F92D87">
        <w:trPr>
          <w:cantSplit/>
          <w:trHeight w:val="97"/>
        </w:trPr>
        <w:tc>
          <w:tcPr>
            <w:tcW w:w="2273" w:type="pct"/>
            <w:shd w:val="clear" w:color="auto" w:fill="FFFFFF"/>
            <w:tcMar>
              <w:top w:w="0" w:type="dxa"/>
              <w:left w:w="0" w:type="dxa"/>
              <w:bottom w:w="0" w:type="dxa"/>
              <w:right w:w="0" w:type="dxa"/>
            </w:tcMar>
            <w:vAlign w:val="center"/>
          </w:tcPr>
          <w:p w14:paraId="11FF8D6E"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trustee: AiB</w:t>
            </w:r>
          </w:p>
        </w:tc>
        <w:tc>
          <w:tcPr>
            <w:tcW w:w="455" w:type="pct"/>
            <w:shd w:val="clear" w:color="auto" w:fill="FFFFFF"/>
            <w:tcMar>
              <w:top w:w="0" w:type="dxa"/>
              <w:left w:w="0" w:type="dxa"/>
              <w:bottom w:w="0" w:type="dxa"/>
              <w:right w:w="0" w:type="dxa"/>
            </w:tcMar>
            <w:vAlign w:val="center"/>
          </w:tcPr>
          <w:p w14:paraId="13E178D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w:t>
            </w:r>
          </w:p>
        </w:tc>
        <w:tc>
          <w:tcPr>
            <w:tcW w:w="455" w:type="pct"/>
            <w:shd w:val="clear" w:color="auto" w:fill="FFFFFF"/>
            <w:tcMar>
              <w:top w:w="0" w:type="dxa"/>
              <w:left w:w="0" w:type="dxa"/>
              <w:bottom w:w="0" w:type="dxa"/>
              <w:right w:w="0" w:type="dxa"/>
            </w:tcMar>
            <w:vAlign w:val="center"/>
          </w:tcPr>
          <w:p w14:paraId="4BE5E60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w:t>
            </w:r>
          </w:p>
        </w:tc>
        <w:tc>
          <w:tcPr>
            <w:tcW w:w="455" w:type="pct"/>
            <w:shd w:val="clear" w:color="auto" w:fill="FFFFFF"/>
            <w:tcMar>
              <w:top w:w="0" w:type="dxa"/>
              <w:left w:w="0" w:type="dxa"/>
              <w:bottom w:w="0" w:type="dxa"/>
              <w:right w:w="0" w:type="dxa"/>
            </w:tcMar>
            <w:vAlign w:val="center"/>
          </w:tcPr>
          <w:p w14:paraId="4DB6D2D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455" w:type="pct"/>
            <w:shd w:val="clear" w:color="auto" w:fill="FFFFFF"/>
            <w:tcMar>
              <w:top w:w="0" w:type="dxa"/>
              <w:left w:w="0" w:type="dxa"/>
              <w:bottom w:w="0" w:type="dxa"/>
              <w:right w:w="0" w:type="dxa"/>
            </w:tcMar>
            <w:vAlign w:val="center"/>
          </w:tcPr>
          <w:p w14:paraId="79C4623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455" w:type="pct"/>
            <w:shd w:val="clear" w:color="auto" w:fill="FFFFFF"/>
            <w:tcMar>
              <w:top w:w="0" w:type="dxa"/>
              <w:left w:w="0" w:type="dxa"/>
              <w:bottom w:w="0" w:type="dxa"/>
              <w:right w:w="0" w:type="dxa"/>
            </w:tcMar>
            <w:vAlign w:val="center"/>
          </w:tcPr>
          <w:p w14:paraId="7DF7DFF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455" w:type="pct"/>
            <w:shd w:val="clear" w:color="auto" w:fill="FFFFFF"/>
            <w:tcMar>
              <w:top w:w="0" w:type="dxa"/>
              <w:left w:w="0" w:type="dxa"/>
              <w:bottom w:w="0" w:type="dxa"/>
              <w:right w:w="0" w:type="dxa"/>
            </w:tcMar>
            <w:vAlign w:val="center"/>
          </w:tcPr>
          <w:p w14:paraId="2957215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42651463" w14:textId="77777777" w:rsidTr="00F92D87">
        <w:trPr>
          <w:cantSplit/>
          <w:trHeight w:val="369"/>
        </w:trPr>
        <w:tc>
          <w:tcPr>
            <w:tcW w:w="2273" w:type="pct"/>
            <w:shd w:val="clear" w:color="auto" w:fill="FFFFFF"/>
            <w:tcMar>
              <w:top w:w="0" w:type="dxa"/>
              <w:left w:w="0" w:type="dxa"/>
              <w:bottom w:w="0" w:type="dxa"/>
              <w:right w:w="0" w:type="dxa"/>
            </w:tcMar>
            <w:vAlign w:val="center"/>
          </w:tcPr>
          <w:p w14:paraId="45A0F068"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trustee: Insolvency practitioner</w:t>
            </w:r>
          </w:p>
        </w:tc>
        <w:tc>
          <w:tcPr>
            <w:tcW w:w="455" w:type="pct"/>
            <w:shd w:val="clear" w:color="auto" w:fill="FFFFFF"/>
            <w:tcMar>
              <w:top w:w="0" w:type="dxa"/>
              <w:left w:w="0" w:type="dxa"/>
              <w:bottom w:w="0" w:type="dxa"/>
              <w:right w:w="0" w:type="dxa"/>
            </w:tcMar>
            <w:vAlign w:val="center"/>
          </w:tcPr>
          <w:p w14:paraId="4A3392E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w:t>
            </w:r>
          </w:p>
        </w:tc>
        <w:tc>
          <w:tcPr>
            <w:tcW w:w="455" w:type="pct"/>
            <w:shd w:val="clear" w:color="auto" w:fill="FFFFFF"/>
            <w:tcMar>
              <w:top w:w="0" w:type="dxa"/>
              <w:left w:w="0" w:type="dxa"/>
              <w:bottom w:w="0" w:type="dxa"/>
              <w:right w:w="0" w:type="dxa"/>
            </w:tcMar>
            <w:vAlign w:val="center"/>
          </w:tcPr>
          <w:p w14:paraId="3796BE6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w:t>
            </w:r>
          </w:p>
        </w:tc>
        <w:tc>
          <w:tcPr>
            <w:tcW w:w="455" w:type="pct"/>
            <w:shd w:val="clear" w:color="auto" w:fill="FFFFFF"/>
            <w:tcMar>
              <w:top w:w="0" w:type="dxa"/>
              <w:left w:w="0" w:type="dxa"/>
              <w:bottom w:w="0" w:type="dxa"/>
              <w:right w:w="0" w:type="dxa"/>
            </w:tcMar>
            <w:vAlign w:val="center"/>
          </w:tcPr>
          <w:p w14:paraId="2D13F24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455" w:type="pct"/>
            <w:shd w:val="clear" w:color="auto" w:fill="FFFFFF"/>
            <w:tcMar>
              <w:top w:w="0" w:type="dxa"/>
              <w:left w:w="0" w:type="dxa"/>
              <w:bottom w:w="0" w:type="dxa"/>
              <w:right w:w="0" w:type="dxa"/>
            </w:tcMar>
            <w:vAlign w:val="center"/>
          </w:tcPr>
          <w:p w14:paraId="71434F3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455" w:type="pct"/>
            <w:shd w:val="clear" w:color="auto" w:fill="FFFFFF"/>
            <w:tcMar>
              <w:top w:w="0" w:type="dxa"/>
              <w:left w:w="0" w:type="dxa"/>
              <w:bottom w:w="0" w:type="dxa"/>
              <w:right w:w="0" w:type="dxa"/>
            </w:tcMar>
            <w:vAlign w:val="center"/>
          </w:tcPr>
          <w:p w14:paraId="3E4393C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455" w:type="pct"/>
            <w:shd w:val="clear" w:color="auto" w:fill="FFFFFF"/>
            <w:tcMar>
              <w:top w:w="0" w:type="dxa"/>
              <w:left w:w="0" w:type="dxa"/>
              <w:bottom w:w="0" w:type="dxa"/>
              <w:right w:w="0" w:type="dxa"/>
            </w:tcMar>
            <w:vAlign w:val="center"/>
          </w:tcPr>
          <w:p w14:paraId="4189112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195561AE" w14:textId="77777777" w:rsidTr="00F92D87">
        <w:trPr>
          <w:cantSplit/>
          <w:trHeight w:val="716"/>
        </w:trPr>
        <w:tc>
          <w:tcPr>
            <w:tcW w:w="2273" w:type="pct"/>
            <w:shd w:val="clear" w:color="auto" w:fill="FFFFFF"/>
            <w:tcMar>
              <w:top w:w="0" w:type="dxa"/>
              <w:left w:w="0" w:type="dxa"/>
              <w:bottom w:w="0" w:type="dxa"/>
              <w:right w:w="0" w:type="dxa"/>
            </w:tcMar>
            <w:vAlign w:val="center"/>
          </w:tcPr>
          <w:p w14:paraId="3ACBEB6A"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Debtor applications</w:t>
            </w:r>
          </w:p>
        </w:tc>
        <w:tc>
          <w:tcPr>
            <w:tcW w:w="455" w:type="pct"/>
            <w:shd w:val="clear" w:color="auto" w:fill="FFFFFF"/>
            <w:tcMar>
              <w:top w:w="0" w:type="dxa"/>
              <w:left w:w="0" w:type="dxa"/>
              <w:bottom w:w="0" w:type="dxa"/>
              <w:right w:w="0" w:type="dxa"/>
            </w:tcMar>
            <w:vAlign w:val="center"/>
          </w:tcPr>
          <w:p w14:paraId="3C1305F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3,869</w:t>
            </w:r>
          </w:p>
        </w:tc>
        <w:tc>
          <w:tcPr>
            <w:tcW w:w="455" w:type="pct"/>
            <w:shd w:val="clear" w:color="auto" w:fill="FFFFFF"/>
            <w:tcMar>
              <w:top w:w="0" w:type="dxa"/>
              <w:left w:w="0" w:type="dxa"/>
              <w:bottom w:w="0" w:type="dxa"/>
              <w:right w:w="0" w:type="dxa"/>
            </w:tcMar>
            <w:vAlign w:val="center"/>
          </w:tcPr>
          <w:p w14:paraId="40D9BBD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3,833</w:t>
            </w:r>
          </w:p>
        </w:tc>
        <w:tc>
          <w:tcPr>
            <w:tcW w:w="455" w:type="pct"/>
            <w:shd w:val="clear" w:color="auto" w:fill="FFFFFF"/>
            <w:tcMar>
              <w:top w:w="0" w:type="dxa"/>
              <w:left w:w="0" w:type="dxa"/>
              <w:bottom w:w="0" w:type="dxa"/>
              <w:right w:w="0" w:type="dxa"/>
            </w:tcMar>
            <w:vAlign w:val="center"/>
          </w:tcPr>
          <w:p w14:paraId="7C08D7E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2,167</w:t>
            </w:r>
          </w:p>
        </w:tc>
        <w:tc>
          <w:tcPr>
            <w:tcW w:w="455" w:type="pct"/>
            <w:shd w:val="clear" w:color="auto" w:fill="FFFFFF"/>
            <w:tcMar>
              <w:top w:w="0" w:type="dxa"/>
              <w:left w:w="0" w:type="dxa"/>
              <w:bottom w:w="0" w:type="dxa"/>
              <w:right w:w="0" w:type="dxa"/>
            </w:tcMar>
            <w:vAlign w:val="center"/>
          </w:tcPr>
          <w:p w14:paraId="7A50028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2,169</w:t>
            </w:r>
          </w:p>
        </w:tc>
        <w:tc>
          <w:tcPr>
            <w:tcW w:w="455" w:type="pct"/>
            <w:shd w:val="clear" w:color="auto" w:fill="FFFFFF"/>
            <w:tcMar>
              <w:top w:w="0" w:type="dxa"/>
              <w:left w:w="0" w:type="dxa"/>
              <w:bottom w:w="0" w:type="dxa"/>
              <w:right w:w="0" w:type="dxa"/>
            </w:tcMar>
            <w:vAlign w:val="center"/>
          </w:tcPr>
          <w:p w14:paraId="6A7EAD4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2,026</w:t>
            </w:r>
          </w:p>
        </w:tc>
        <w:tc>
          <w:tcPr>
            <w:tcW w:w="455" w:type="pct"/>
            <w:shd w:val="clear" w:color="auto" w:fill="FFFFFF"/>
            <w:tcMar>
              <w:top w:w="0" w:type="dxa"/>
              <w:left w:w="0" w:type="dxa"/>
              <w:bottom w:w="0" w:type="dxa"/>
              <w:right w:w="0" w:type="dxa"/>
            </w:tcMar>
            <w:vAlign w:val="center"/>
          </w:tcPr>
          <w:p w14:paraId="18CA060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-6.6%</w:t>
            </w:r>
          </w:p>
        </w:tc>
      </w:tr>
      <w:tr w:rsidR="004C3088" w:rsidRPr="00F92D87" w14:paraId="78F9623C" w14:textId="77777777" w:rsidTr="00F92D87">
        <w:trPr>
          <w:cantSplit/>
          <w:trHeight w:val="80"/>
        </w:trPr>
        <w:tc>
          <w:tcPr>
            <w:tcW w:w="2273" w:type="pct"/>
            <w:shd w:val="clear" w:color="auto" w:fill="FFFFFF"/>
            <w:tcMar>
              <w:top w:w="0" w:type="dxa"/>
              <w:left w:w="0" w:type="dxa"/>
              <w:bottom w:w="0" w:type="dxa"/>
              <w:right w:w="0" w:type="dxa"/>
            </w:tcMar>
            <w:vAlign w:val="center"/>
          </w:tcPr>
          <w:p w14:paraId="7B9119B6"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trustee: AiB</w:t>
            </w:r>
          </w:p>
        </w:tc>
        <w:tc>
          <w:tcPr>
            <w:tcW w:w="455" w:type="pct"/>
            <w:shd w:val="clear" w:color="auto" w:fill="FFFFFF"/>
            <w:tcMar>
              <w:top w:w="0" w:type="dxa"/>
              <w:left w:w="0" w:type="dxa"/>
              <w:bottom w:w="0" w:type="dxa"/>
              <w:right w:w="0" w:type="dxa"/>
            </w:tcMar>
            <w:vAlign w:val="center"/>
          </w:tcPr>
          <w:p w14:paraId="0894629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3,363</w:t>
            </w:r>
          </w:p>
        </w:tc>
        <w:tc>
          <w:tcPr>
            <w:tcW w:w="455" w:type="pct"/>
            <w:shd w:val="clear" w:color="auto" w:fill="FFFFFF"/>
            <w:tcMar>
              <w:top w:w="0" w:type="dxa"/>
              <w:left w:w="0" w:type="dxa"/>
              <w:bottom w:w="0" w:type="dxa"/>
              <w:right w:w="0" w:type="dxa"/>
            </w:tcMar>
            <w:vAlign w:val="center"/>
          </w:tcPr>
          <w:p w14:paraId="3F96FDE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3,291</w:t>
            </w:r>
          </w:p>
        </w:tc>
        <w:tc>
          <w:tcPr>
            <w:tcW w:w="455" w:type="pct"/>
            <w:shd w:val="clear" w:color="auto" w:fill="FFFFFF"/>
            <w:tcMar>
              <w:top w:w="0" w:type="dxa"/>
              <w:left w:w="0" w:type="dxa"/>
              <w:bottom w:w="0" w:type="dxa"/>
              <w:right w:w="0" w:type="dxa"/>
            </w:tcMar>
            <w:vAlign w:val="center"/>
          </w:tcPr>
          <w:p w14:paraId="1E97E9A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1,964</w:t>
            </w:r>
          </w:p>
        </w:tc>
        <w:tc>
          <w:tcPr>
            <w:tcW w:w="455" w:type="pct"/>
            <w:shd w:val="clear" w:color="auto" w:fill="FFFFFF"/>
            <w:tcMar>
              <w:top w:w="0" w:type="dxa"/>
              <w:left w:w="0" w:type="dxa"/>
              <w:bottom w:w="0" w:type="dxa"/>
              <w:right w:w="0" w:type="dxa"/>
            </w:tcMar>
            <w:vAlign w:val="center"/>
          </w:tcPr>
          <w:p w14:paraId="44EB77D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1,975</w:t>
            </w:r>
          </w:p>
        </w:tc>
        <w:tc>
          <w:tcPr>
            <w:tcW w:w="455" w:type="pct"/>
            <w:shd w:val="clear" w:color="auto" w:fill="FFFFFF"/>
            <w:tcMar>
              <w:top w:w="0" w:type="dxa"/>
              <w:left w:w="0" w:type="dxa"/>
              <w:bottom w:w="0" w:type="dxa"/>
              <w:right w:w="0" w:type="dxa"/>
            </w:tcMar>
            <w:vAlign w:val="center"/>
          </w:tcPr>
          <w:p w14:paraId="1862757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1,895</w:t>
            </w:r>
          </w:p>
        </w:tc>
        <w:tc>
          <w:tcPr>
            <w:tcW w:w="455" w:type="pct"/>
            <w:shd w:val="clear" w:color="auto" w:fill="FFFFFF"/>
            <w:tcMar>
              <w:top w:w="0" w:type="dxa"/>
              <w:left w:w="0" w:type="dxa"/>
              <w:bottom w:w="0" w:type="dxa"/>
              <w:right w:w="0" w:type="dxa"/>
            </w:tcMar>
            <w:vAlign w:val="center"/>
          </w:tcPr>
          <w:p w14:paraId="144011D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-4.1%</w:t>
            </w:r>
          </w:p>
        </w:tc>
      </w:tr>
      <w:tr w:rsidR="004C3088" w:rsidRPr="00F92D87" w14:paraId="4E09158D" w14:textId="77777777" w:rsidTr="00F92D87">
        <w:trPr>
          <w:cantSplit/>
          <w:trHeight w:val="377"/>
        </w:trPr>
        <w:tc>
          <w:tcPr>
            <w:tcW w:w="2273" w:type="pct"/>
            <w:shd w:val="clear" w:color="auto" w:fill="FFFFFF"/>
            <w:tcMar>
              <w:top w:w="0" w:type="dxa"/>
              <w:left w:w="0" w:type="dxa"/>
              <w:bottom w:w="0" w:type="dxa"/>
              <w:right w:w="0" w:type="dxa"/>
            </w:tcMar>
            <w:vAlign w:val="center"/>
          </w:tcPr>
          <w:p w14:paraId="123A7EAD"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trustee: Insolvency practitioner</w:t>
            </w:r>
          </w:p>
        </w:tc>
        <w:tc>
          <w:tcPr>
            <w:tcW w:w="455" w:type="pct"/>
            <w:shd w:val="clear" w:color="auto" w:fill="FFFFFF"/>
            <w:tcMar>
              <w:top w:w="0" w:type="dxa"/>
              <w:left w:w="0" w:type="dxa"/>
              <w:bottom w:w="0" w:type="dxa"/>
              <w:right w:w="0" w:type="dxa"/>
            </w:tcMar>
            <w:vAlign w:val="center"/>
          </w:tcPr>
          <w:p w14:paraId="691A757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506</w:t>
            </w:r>
          </w:p>
        </w:tc>
        <w:tc>
          <w:tcPr>
            <w:tcW w:w="455" w:type="pct"/>
            <w:shd w:val="clear" w:color="auto" w:fill="FFFFFF"/>
            <w:tcMar>
              <w:top w:w="0" w:type="dxa"/>
              <w:left w:w="0" w:type="dxa"/>
              <w:bottom w:w="0" w:type="dxa"/>
              <w:right w:w="0" w:type="dxa"/>
            </w:tcMar>
            <w:vAlign w:val="center"/>
          </w:tcPr>
          <w:p w14:paraId="3718F5B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542</w:t>
            </w:r>
          </w:p>
        </w:tc>
        <w:tc>
          <w:tcPr>
            <w:tcW w:w="455" w:type="pct"/>
            <w:shd w:val="clear" w:color="auto" w:fill="FFFFFF"/>
            <w:tcMar>
              <w:top w:w="0" w:type="dxa"/>
              <w:left w:w="0" w:type="dxa"/>
              <w:bottom w:w="0" w:type="dxa"/>
              <w:right w:w="0" w:type="dxa"/>
            </w:tcMar>
            <w:vAlign w:val="center"/>
          </w:tcPr>
          <w:p w14:paraId="5396B8F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203</w:t>
            </w:r>
          </w:p>
        </w:tc>
        <w:tc>
          <w:tcPr>
            <w:tcW w:w="455" w:type="pct"/>
            <w:shd w:val="clear" w:color="auto" w:fill="FFFFFF"/>
            <w:tcMar>
              <w:top w:w="0" w:type="dxa"/>
              <w:left w:w="0" w:type="dxa"/>
              <w:bottom w:w="0" w:type="dxa"/>
              <w:right w:w="0" w:type="dxa"/>
            </w:tcMar>
            <w:vAlign w:val="center"/>
          </w:tcPr>
          <w:p w14:paraId="58425C2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194</w:t>
            </w:r>
          </w:p>
        </w:tc>
        <w:tc>
          <w:tcPr>
            <w:tcW w:w="455" w:type="pct"/>
            <w:shd w:val="clear" w:color="auto" w:fill="FFFFFF"/>
            <w:tcMar>
              <w:top w:w="0" w:type="dxa"/>
              <w:left w:w="0" w:type="dxa"/>
              <w:bottom w:w="0" w:type="dxa"/>
              <w:right w:w="0" w:type="dxa"/>
            </w:tcMar>
            <w:vAlign w:val="center"/>
          </w:tcPr>
          <w:p w14:paraId="04D72E0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131</w:t>
            </w:r>
          </w:p>
        </w:tc>
        <w:tc>
          <w:tcPr>
            <w:tcW w:w="455" w:type="pct"/>
            <w:shd w:val="clear" w:color="auto" w:fill="FFFFFF"/>
            <w:tcMar>
              <w:top w:w="0" w:type="dxa"/>
              <w:left w:w="0" w:type="dxa"/>
              <w:bottom w:w="0" w:type="dxa"/>
              <w:right w:w="0" w:type="dxa"/>
            </w:tcMar>
            <w:vAlign w:val="center"/>
          </w:tcPr>
          <w:p w14:paraId="4E0C6EF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-32.5%</w:t>
            </w:r>
          </w:p>
        </w:tc>
      </w:tr>
      <w:tr w:rsidR="004C3088" w:rsidRPr="00F92D87" w14:paraId="303C73D3" w14:textId="77777777" w:rsidTr="00F92D87">
        <w:trPr>
          <w:cantSplit/>
          <w:trHeight w:val="708"/>
        </w:trPr>
        <w:tc>
          <w:tcPr>
            <w:tcW w:w="2273" w:type="pct"/>
            <w:shd w:val="clear" w:color="auto" w:fill="FFFFFF"/>
            <w:tcMar>
              <w:top w:w="0" w:type="dxa"/>
              <w:left w:w="0" w:type="dxa"/>
              <w:bottom w:w="0" w:type="dxa"/>
              <w:right w:w="0" w:type="dxa"/>
            </w:tcMar>
            <w:vAlign w:val="center"/>
          </w:tcPr>
          <w:p w14:paraId="4D8CA1AE"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debtor application: Minimal Asset Process</w:t>
            </w:r>
          </w:p>
        </w:tc>
        <w:tc>
          <w:tcPr>
            <w:tcW w:w="455" w:type="pct"/>
            <w:shd w:val="clear" w:color="auto" w:fill="FFFFFF"/>
            <w:tcMar>
              <w:top w:w="0" w:type="dxa"/>
              <w:left w:w="0" w:type="dxa"/>
              <w:bottom w:w="0" w:type="dxa"/>
              <w:right w:w="0" w:type="dxa"/>
            </w:tcMar>
            <w:vAlign w:val="center"/>
          </w:tcPr>
          <w:p w14:paraId="272379C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2,181</w:t>
            </w:r>
          </w:p>
        </w:tc>
        <w:tc>
          <w:tcPr>
            <w:tcW w:w="455" w:type="pct"/>
            <w:shd w:val="clear" w:color="auto" w:fill="FFFFFF"/>
            <w:tcMar>
              <w:top w:w="0" w:type="dxa"/>
              <w:left w:w="0" w:type="dxa"/>
              <w:bottom w:w="0" w:type="dxa"/>
              <w:right w:w="0" w:type="dxa"/>
            </w:tcMar>
            <w:vAlign w:val="center"/>
          </w:tcPr>
          <w:p w14:paraId="1703EB3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2,020</w:t>
            </w:r>
          </w:p>
        </w:tc>
        <w:tc>
          <w:tcPr>
            <w:tcW w:w="455" w:type="pct"/>
            <w:shd w:val="clear" w:color="auto" w:fill="FFFFFF"/>
            <w:tcMar>
              <w:top w:w="0" w:type="dxa"/>
              <w:left w:w="0" w:type="dxa"/>
              <w:bottom w:w="0" w:type="dxa"/>
              <w:right w:w="0" w:type="dxa"/>
            </w:tcMar>
            <w:vAlign w:val="center"/>
          </w:tcPr>
          <w:p w14:paraId="0C64472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1,514</w:t>
            </w:r>
          </w:p>
        </w:tc>
        <w:tc>
          <w:tcPr>
            <w:tcW w:w="455" w:type="pct"/>
            <w:shd w:val="clear" w:color="auto" w:fill="FFFFFF"/>
            <w:tcMar>
              <w:top w:w="0" w:type="dxa"/>
              <w:left w:w="0" w:type="dxa"/>
              <w:bottom w:w="0" w:type="dxa"/>
              <w:right w:w="0" w:type="dxa"/>
            </w:tcMar>
            <w:vAlign w:val="center"/>
          </w:tcPr>
          <w:p w14:paraId="7E09406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1,536</w:t>
            </w:r>
          </w:p>
        </w:tc>
        <w:tc>
          <w:tcPr>
            <w:tcW w:w="455" w:type="pct"/>
            <w:shd w:val="clear" w:color="auto" w:fill="FFFFFF"/>
            <w:tcMar>
              <w:top w:w="0" w:type="dxa"/>
              <w:left w:w="0" w:type="dxa"/>
              <w:bottom w:w="0" w:type="dxa"/>
              <w:right w:w="0" w:type="dxa"/>
            </w:tcMar>
            <w:vAlign w:val="center"/>
          </w:tcPr>
          <w:p w14:paraId="43F9C9C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1,404</w:t>
            </w:r>
          </w:p>
        </w:tc>
        <w:tc>
          <w:tcPr>
            <w:tcW w:w="455" w:type="pct"/>
            <w:shd w:val="clear" w:color="auto" w:fill="FFFFFF"/>
            <w:tcMar>
              <w:top w:w="0" w:type="dxa"/>
              <w:left w:w="0" w:type="dxa"/>
              <w:bottom w:w="0" w:type="dxa"/>
              <w:right w:w="0" w:type="dxa"/>
            </w:tcMar>
            <w:vAlign w:val="center"/>
          </w:tcPr>
          <w:p w14:paraId="60BF917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-8.6%</w:t>
            </w:r>
          </w:p>
        </w:tc>
      </w:tr>
      <w:tr w:rsidR="004C3088" w:rsidRPr="00F92D87" w14:paraId="0CFA69A9" w14:textId="77777777" w:rsidTr="00F92D87">
        <w:trPr>
          <w:cantSplit/>
          <w:trHeight w:val="421"/>
        </w:trPr>
        <w:tc>
          <w:tcPr>
            <w:tcW w:w="2273" w:type="pct"/>
            <w:shd w:val="clear" w:color="auto" w:fill="FFFFFF"/>
            <w:tcMar>
              <w:top w:w="0" w:type="dxa"/>
              <w:left w:w="0" w:type="dxa"/>
              <w:bottom w:w="0" w:type="dxa"/>
              <w:right w:w="0" w:type="dxa"/>
            </w:tcMar>
            <w:vAlign w:val="center"/>
          </w:tcPr>
          <w:p w14:paraId="1A342738"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debtor application: Full Administration</w:t>
            </w:r>
          </w:p>
        </w:tc>
        <w:tc>
          <w:tcPr>
            <w:tcW w:w="455" w:type="pct"/>
            <w:shd w:val="clear" w:color="auto" w:fill="FFFFFF"/>
            <w:tcMar>
              <w:top w:w="0" w:type="dxa"/>
              <w:left w:w="0" w:type="dxa"/>
              <w:bottom w:w="0" w:type="dxa"/>
              <w:right w:w="0" w:type="dxa"/>
            </w:tcMar>
            <w:vAlign w:val="center"/>
          </w:tcPr>
          <w:p w14:paraId="5DD1405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1,688</w:t>
            </w:r>
          </w:p>
        </w:tc>
        <w:tc>
          <w:tcPr>
            <w:tcW w:w="455" w:type="pct"/>
            <w:shd w:val="clear" w:color="auto" w:fill="FFFFFF"/>
            <w:tcMar>
              <w:top w:w="0" w:type="dxa"/>
              <w:left w:w="0" w:type="dxa"/>
              <w:bottom w:w="0" w:type="dxa"/>
              <w:right w:w="0" w:type="dxa"/>
            </w:tcMar>
            <w:vAlign w:val="center"/>
          </w:tcPr>
          <w:p w14:paraId="3F9E683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1,813</w:t>
            </w:r>
          </w:p>
        </w:tc>
        <w:tc>
          <w:tcPr>
            <w:tcW w:w="455" w:type="pct"/>
            <w:shd w:val="clear" w:color="auto" w:fill="FFFFFF"/>
            <w:tcMar>
              <w:top w:w="0" w:type="dxa"/>
              <w:left w:w="0" w:type="dxa"/>
              <w:bottom w:w="0" w:type="dxa"/>
              <w:right w:w="0" w:type="dxa"/>
            </w:tcMar>
            <w:vAlign w:val="center"/>
          </w:tcPr>
          <w:p w14:paraId="3B11675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653</w:t>
            </w:r>
          </w:p>
        </w:tc>
        <w:tc>
          <w:tcPr>
            <w:tcW w:w="455" w:type="pct"/>
            <w:shd w:val="clear" w:color="auto" w:fill="FFFFFF"/>
            <w:tcMar>
              <w:top w:w="0" w:type="dxa"/>
              <w:left w:w="0" w:type="dxa"/>
              <w:bottom w:w="0" w:type="dxa"/>
              <w:right w:w="0" w:type="dxa"/>
            </w:tcMar>
            <w:vAlign w:val="center"/>
          </w:tcPr>
          <w:p w14:paraId="25B7430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633</w:t>
            </w:r>
          </w:p>
        </w:tc>
        <w:tc>
          <w:tcPr>
            <w:tcW w:w="455" w:type="pct"/>
            <w:shd w:val="clear" w:color="auto" w:fill="FFFFFF"/>
            <w:tcMar>
              <w:top w:w="0" w:type="dxa"/>
              <w:left w:w="0" w:type="dxa"/>
              <w:bottom w:w="0" w:type="dxa"/>
              <w:right w:w="0" w:type="dxa"/>
            </w:tcMar>
            <w:vAlign w:val="center"/>
          </w:tcPr>
          <w:p w14:paraId="029296F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622</w:t>
            </w:r>
          </w:p>
        </w:tc>
        <w:tc>
          <w:tcPr>
            <w:tcW w:w="455" w:type="pct"/>
            <w:shd w:val="clear" w:color="auto" w:fill="FFFFFF"/>
            <w:tcMar>
              <w:top w:w="0" w:type="dxa"/>
              <w:left w:w="0" w:type="dxa"/>
              <w:bottom w:w="0" w:type="dxa"/>
              <w:right w:w="0" w:type="dxa"/>
            </w:tcMar>
            <w:vAlign w:val="center"/>
          </w:tcPr>
          <w:p w14:paraId="4CB6698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-1.7%</w:t>
            </w:r>
          </w:p>
        </w:tc>
      </w:tr>
      <w:tr w:rsidR="004C3088" w:rsidRPr="00F92D87" w14:paraId="6232EDC3" w14:textId="77777777" w:rsidTr="00F92D87">
        <w:trPr>
          <w:cantSplit/>
          <w:trHeight w:val="839"/>
        </w:trPr>
        <w:tc>
          <w:tcPr>
            <w:tcW w:w="2273" w:type="pct"/>
            <w:shd w:val="clear" w:color="auto" w:fill="FFFFFF"/>
            <w:tcMar>
              <w:top w:w="0" w:type="dxa"/>
              <w:left w:w="0" w:type="dxa"/>
              <w:bottom w:w="0" w:type="dxa"/>
              <w:right w:w="0" w:type="dxa"/>
            </w:tcMar>
            <w:vAlign w:val="center"/>
          </w:tcPr>
          <w:p w14:paraId="7DB4432B"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Total awards of bankruptcy</w:t>
            </w:r>
          </w:p>
        </w:tc>
        <w:tc>
          <w:tcPr>
            <w:tcW w:w="455" w:type="pct"/>
            <w:shd w:val="clear" w:color="auto" w:fill="FFFFFF"/>
            <w:tcMar>
              <w:top w:w="0" w:type="dxa"/>
              <w:left w:w="0" w:type="dxa"/>
              <w:bottom w:w="0" w:type="dxa"/>
              <w:right w:w="0" w:type="dxa"/>
            </w:tcMar>
            <w:vAlign w:val="center"/>
          </w:tcPr>
          <w:p w14:paraId="0781D37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4,873</w:t>
            </w:r>
          </w:p>
        </w:tc>
        <w:tc>
          <w:tcPr>
            <w:tcW w:w="455" w:type="pct"/>
            <w:shd w:val="clear" w:color="auto" w:fill="FFFFFF"/>
            <w:tcMar>
              <w:top w:w="0" w:type="dxa"/>
              <w:left w:w="0" w:type="dxa"/>
              <w:bottom w:w="0" w:type="dxa"/>
              <w:right w:w="0" w:type="dxa"/>
            </w:tcMar>
            <w:vAlign w:val="center"/>
          </w:tcPr>
          <w:p w14:paraId="1A9A460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4,748</w:t>
            </w:r>
          </w:p>
        </w:tc>
        <w:tc>
          <w:tcPr>
            <w:tcW w:w="455" w:type="pct"/>
            <w:shd w:val="clear" w:color="auto" w:fill="FFFFFF"/>
            <w:tcMar>
              <w:top w:w="0" w:type="dxa"/>
              <w:left w:w="0" w:type="dxa"/>
              <w:bottom w:w="0" w:type="dxa"/>
              <w:right w:w="0" w:type="dxa"/>
            </w:tcMar>
            <w:vAlign w:val="center"/>
          </w:tcPr>
          <w:p w14:paraId="2B7D9DE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2,331</w:t>
            </w:r>
          </w:p>
        </w:tc>
        <w:tc>
          <w:tcPr>
            <w:tcW w:w="455" w:type="pct"/>
            <w:shd w:val="clear" w:color="auto" w:fill="FFFFFF"/>
            <w:tcMar>
              <w:top w:w="0" w:type="dxa"/>
              <w:left w:w="0" w:type="dxa"/>
              <w:bottom w:w="0" w:type="dxa"/>
              <w:right w:w="0" w:type="dxa"/>
            </w:tcMar>
            <w:vAlign w:val="center"/>
          </w:tcPr>
          <w:p w14:paraId="0D1EE66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2,305</w:t>
            </w:r>
          </w:p>
        </w:tc>
        <w:tc>
          <w:tcPr>
            <w:tcW w:w="455" w:type="pct"/>
            <w:shd w:val="clear" w:color="auto" w:fill="FFFFFF"/>
            <w:tcMar>
              <w:top w:w="0" w:type="dxa"/>
              <w:left w:w="0" w:type="dxa"/>
              <w:bottom w:w="0" w:type="dxa"/>
              <w:right w:w="0" w:type="dxa"/>
            </w:tcMar>
            <w:vAlign w:val="center"/>
          </w:tcPr>
          <w:p w14:paraId="7579EE8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2,357</w:t>
            </w:r>
          </w:p>
        </w:tc>
        <w:tc>
          <w:tcPr>
            <w:tcW w:w="455" w:type="pct"/>
            <w:shd w:val="clear" w:color="auto" w:fill="FFFFFF"/>
            <w:tcMar>
              <w:top w:w="0" w:type="dxa"/>
              <w:left w:w="0" w:type="dxa"/>
              <w:bottom w:w="0" w:type="dxa"/>
              <w:right w:w="0" w:type="dxa"/>
            </w:tcMar>
            <w:vAlign w:val="center"/>
          </w:tcPr>
          <w:p w14:paraId="61C1C86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2.3%</w:t>
            </w:r>
          </w:p>
        </w:tc>
      </w:tr>
      <w:tr w:rsidR="004C3088" w:rsidRPr="00F92D87" w14:paraId="4354A73B" w14:textId="77777777" w:rsidTr="00F92D87">
        <w:trPr>
          <w:cantSplit/>
          <w:trHeight w:val="839"/>
        </w:trPr>
        <w:tc>
          <w:tcPr>
            <w:tcW w:w="5000" w:type="pct"/>
            <w:gridSpan w:val="7"/>
            <w:tcBorders>
              <w:top w:val="single" w:sz="8" w:space="0" w:color="BEBEBE"/>
            </w:tcBorders>
            <w:shd w:val="clear" w:color="auto" w:fill="FFFFFF"/>
            <w:tcMar>
              <w:top w:w="0" w:type="dxa"/>
              <w:left w:w="0" w:type="dxa"/>
              <w:bottom w:w="0" w:type="dxa"/>
              <w:right w:w="0" w:type="dxa"/>
            </w:tcMar>
            <w:vAlign w:val="center"/>
          </w:tcPr>
          <w:p w14:paraId="56D84ED2" w14:textId="77777777" w:rsidR="004C3088" w:rsidRPr="00F92D87" w:rsidRDefault="002556CC">
            <w:pPr>
              <w:spacing w:after="0"/>
              <w:rPr>
                <w:rFonts w:ascii="Arial" w:hAnsi="Arial" w:cs="Arial"/>
                <w:sz w:val="22"/>
                <w:szCs w:val="22"/>
              </w:rPr>
            </w:pPr>
            <w:r w:rsidRPr="00F92D87">
              <w:rPr>
                <w:rFonts w:ascii="Arial" w:eastAsia="Arial" w:hAnsi="Arial" w:cs="Arial"/>
                <w:color w:val="000000"/>
                <w:sz w:val="22"/>
                <w:szCs w:val="22"/>
              </w:rPr>
              <w:t>Source: Accountant in Bankruptcy</w:t>
            </w:r>
          </w:p>
        </w:tc>
      </w:tr>
    </w:tbl>
    <w:p w14:paraId="21A04D37" w14:textId="77777777" w:rsidR="004C3088" w:rsidRDefault="004C3088">
      <w:pPr>
        <w:pStyle w:val="BodyText"/>
      </w:pPr>
    </w:p>
    <w:p w14:paraId="1DBEF519" w14:textId="77777777" w:rsidR="004C3088" w:rsidRDefault="002556CC">
      <w:pPr>
        <w:pStyle w:val="BodyText"/>
      </w:pPr>
      <w:r>
        <w:lastRenderedPageBreak/>
        <w:t>Awards of bankruptcy can be grouped into three types:</w:t>
      </w:r>
    </w:p>
    <w:p w14:paraId="41CD89D0" w14:textId="77777777" w:rsidR="004C3088" w:rsidRDefault="002556CC">
      <w:pPr>
        <w:pStyle w:val="Compact"/>
        <w:numPr>
          <w:ilvl w:val="0"/>
          <w:numId w:val="6"/>
        </w:numPr>
      </w:pPr>
      <w:r>
        <w:t>debtor application - application made by the debtor to The Accountant in Bankruptcy</w:t>
      </w:r>
    </w:p>
    <w:p w14:paraId="052CC037" w14:textId="77777777" w:rsidR="004C3088" w:rsidRDefault="002556CC">
      <w:pPr>
        <w:pStyle w:val="Compact"/>
        <w:numPr>
          <w:ilvl w:val="0"/>
          <w:numId w:val="6"/>
        </w:numPr>
      </w:pPr>
      <w:r>
        <w:t>creditor petition - applications to the court by a creditor to pursue the sequestration of a debtor</w:t>
      </w:r>
    </w:p>
    <w:p w14:paraId="20D6B4AE" w14:textId="77777777" w:rsidR="004C3088" w:rsidRDefault="002556CC">
      <w:pPr>
        <w:pStyle w:val="Compact"/>
        <w:numPr>
          <w:ilvl w:val="0"/>
          <w:numId w:val="6"/>
        </w:numPr>
      </w:pPr>
      <w:r>
        <w:t>trust deed petition - applications where the trustee under a trust deed has applied to the court for the debtor’s sequestration</w:t>
      </w:r>
    </w:p>
    <w:p w14:paraId="67DE419D" w14:textId="77777777" w:rsidR="004C3088" w:rsidRDefault="002556CC">
      <w:pPr>
        <w:pStyle w:val="FirstParagraph"/>
      </w:pPr>
      <w:r>
        <w:t>The majority (86.0%) of bankruptcies were initiated through debtor applications. The number of bankruptcies awarded through debtor applications decreased by 6.6% in 2022-23 when compared with 2021-22.</w:t>
      </w:r>
    </w:p>
    <w:p w14:paraId="54880C09" w14:textId="77777777" w:rsidR="004C3088" w:rsidRDefault="002556CC">
      <w:pPr>
        <w:pStyle w:val="BodyText"/>
      </w:pPr>
      <w:r>
        <w:t>Awards of bankruptcy through creditor petitions increased by 143.4% from 136 in 2021-22 to 331 in 2022-23. There were no trust deed petitions awarded in 2022-23.</w:t>
      </w:r>
    </w:p>
    <w:p w14:paraId="0242939C" w14:textId="77777777" w:rsidR="004C3088" w:rsidRDefault="002556CC">
      <w:pPr>
        <w:pStyle w:val="BodyText"/>
      </w:pPr>
      <w:r>
        <w:t>Chart 3 below shows the recent trend in bankruptcies by type since 2015-16. The total awards of debtor applications have decreased by 21.9% in 2022-23 when compared with 2015-16. Therefore, the 2022-23 level remains below levels between 2015-16 and 2019-20.</w:t>
      </w:r>
    </w:p>
    <w:p w14:paraId="4F256F15" w14:textId="77777777" w:rsidR="004C3088" w:rsidRDefault="002556CC">
      <w:pPr>
        <w:pStyle w:val="BodyText"/>
      </w:pPr>
      <w:r>
        <w:t xml:space="preserve"> </w:t>
      </w:r>
      <w:r>
        <w:rPr>
          <w:noProof/>
        </w:rPr>
        <w:drawing>
          <wp:inline distT="0" distB="0" distL="0" distR="0" wp14:anchorId="1715FAC2" wp14:editId="41419DCC">
            <wp:extent cx="5943600" cy="4242598"/>
            <wp:effectExtent l="0" t="0" r="0" b="0"/>
            <wp:docPr id="5" name="Picture" descr="Chart 3 shows the number of bankruptcies awarded by type between 2015-16 and 2022-23. This chart shows that the Minimal Asset Process (MAP) represents the majority of debtor application bankruptcies awarded sine 2015-16."/>
            <wp:cNvGraphicFramePr/>
            <a:graphic xmlns:a="http://schemas.openxmlformats.org/drawingml/2006/main">
              <a:graphicData uri="http://schemas.openxmlformats.org/drawingml/2006/picture">
                <pic:pic xmlns:pic="http://schemas.openxmlformats.org/drawingml/2006/picture">
                  <pic:nvPicPr>
                    <pic:cNvPr id="6" name="Picture" descr="_pub_chart_3_1_plot.png"/>
                    <pic:cNvPicPr>
                      <a:picLocks noChangeAspect="1" noChangeArrowheads="1"/>
                    </pic:cNvPicPr>
                  </pic:nvPicPr>
                  <pic:blipFill>
                    <a:blip r:embed="rId20"/>
                    <a:stretch>
                      <a:fillRect/>
                    </a:stretch>
                  </pic:blipFill>
                  <pic:spPr bwMode="auto">
                    <a:xfrm>
                      <a:off x="0" y="0"/>
                      <a:ext cx="5943600" cy="4242598"/>
                    </a:xfrm>
                    <a:prstGeom prst="rect">
                      <a:avLst/>
                    </a:prstGeom>
                    <a:noFill/>
                    <a:ln w="9525">
                      <a:noFill/>
                      <a:headEnd/>
                      <a:tailEnd/>
                    </a:ln>
                  </pic:spPr>
                </pic:pic>
              </a:graphicData>
            </a:graphic>
          </wp:inline>
        </w:drawing>
      </w:r>
    </w:p>
    <w:p w14:paraId="6A23674C" w14:textId="77777777" w:rsidR="004C3088" w:rsidRDefault="004C3088">
      <w:pPr>
        <w:pStyle w:val="BodyText"/>
      </w:pPr>
    </w:p>
    <w:p w14:paraId="6B3ECA50" w14:textId="77777777" w:rsidR="004C3088" w:rsidRDefault="002556CC">
      <w:pPr>
        <w:pStyle w:val="Heading3"/>
      </w:pPr>
      <w:bookmarkStart w:id="10" w:name="type-of-debtor-applications"/>
      <w:r>
        <w:t>Type of debtor applications</w:t>
      </w:r>
      <w:bookmarkEnd w:id="10"/>
    </w:p>
    <w:p w14:paraId="62E45AFE" w14:textId="77777777" w:rsidR="004C3088" w:rsidRDefault="002556CC">
      <w:pPr>
        <w:pStyle w:val="FirstParagraph"/>
      </w:pPr>
      <w:r>
        <w:t>In 2022-23, there were 2,026 awards of bankruptcy arising from debtor applications.</w:t>
      </w:r>
    </w:p>
    <w:p w14:paraId="6D83ACE5" w14:textId="77777777" w:rsidR="004C3088" w:rsidRDefault="002556CC">
      <w:pPr>
        <w:pStyle w:val="BodyText"/>
      </w:pPr>
      <w:r>
        <w:t>There are two types of debtor applications for bankruptcy - Minimal Asset Process (MAP) or Full Administration. In 2022-23, around 69.3% of bankruptcies awarded through debtor applications were MAP cases with the remaining cases being Full Administration.</w:t>
      </w:r>
    </w:p>
    <w:p w14:paraId="6F8CB93C" w14:textId="77777777" w:rsidR="004C3088" w:rsidRDefault="002556CC">
      <w:pPr>
        <w:pStyle w:val="BodyText"/>
      </w:pPr>
      <w:r>
        <w:t>MAP bankruptcy replaced the Low Impact Low Asset (LILA) route in April 2015. The number of LILA bankruptcy awards followed the declining trend in overall bankruptcies since 2008-09. There was a spike in activity in April to June 2012 - likely as a result of the scheduled increase in fees to access bankruptcy being introduced on 01 June 2012. The introduction of the Bankruptcy and Debt Advice (Scotland) (BADA(S)) Act 2014 in April 2015, was most likely cause for the sharp decline in the number of bankruptcies awarded in April to June 2015.</w:t>
      </w:r>
    </w:p>
    <w:p w14:paraId="04AB304E" w14:textId="77777777" w:rsidR="004C3088" w:rsidRDefault="002556CC">
      <w:pPr>
        <w:pStyle w:val="BodyText"/>
      </w:pPr>
      <w:r>
        <w:t>Not all debtor applications for bankruptcy result in an award being made and applications can be rejected (criteria for bankruptcy not met) or returned (application errors).</w:t>
      </w:r>
    </w:p>
    <w:p w14:paraId="3668DD67" w14:textId="1012083E" w:rsidR="004C3088" w:rsidRDefault="002556CC">
      <w:pPr>
        <w:pStyle w:val="BodyText"/>
      </w:pPr>
      <w:r>
        <w:t xml:space="preserve">Applications for bankruptcy showed a small </w:t>
      </w:r>
      <w:r w:rsidR="00C45BBB">
        <w:t>de</w:t>
      </w:r>
      <w:r>
        <w:t>crease in 2022-23 when compared with the previous year. In 2022-23, 2,085 applications for bankruptcy were received by AiB, compared with 2,279 in 2021-22.</w:t>
      </w:r>
    </w:p>
    <w:p w14:paraId="700293AE" w14:textId="77777777" w:rsidR="004C3088" w:rsidRDefault="004C3088">
      <w:pPr>
        <w:pStyle w:val="BodyText"/>
      </w:pPr>
    </w:p>
    <w:p w14:paraId="2DE85D31" w14:textId="77777777" w:rsidR="004C3088" w:rsidRDefault="002556CC">
      <w:pPr>
        <w:pStyle w:val="Heading3"/>
      </w:pPr>
      <w:bookmarkStart w:id="11" w:name="Xa8ba6b1fafb2df32b151bd9a2f4009310c3ac82"/>
      <w:r>
        <w:t>Awards of bankruptcy by trustee appointment</w:t>
      </w:r>
      <w:bookmarkEnd w:id="11"/>
    </w:p>
    <w:p w14:paraId="464BF8B1" w14:textId="77777777" w:rsidR="004C3088" w:rsidRDefault="002556CC">
      <w:pPr>
        <w:pStyle w:val="FirstParagraph"/>
      </w:pPr>
      <w:r>
        <w:t>In Scotland, a trustee is appointed to administer each bankruptcy. The Accountant in Bankruptcy (The Accountant) will be the trustee unless an Insolvency Practitioner (IP) is nominated to act. The Accountant is appointed as trustee in all MAP cases as there is no estate or contributions to be administered - this was previously the case under LILA.</w:t>
      </w:r>
    </w:p>
    <w:p w14:paraId="6B907A9C" w14:textId="77777777" w:rsidR="004C3088" w:rsidRDefault="002556CC">
      <w:pPr>
        <w:pStyle w:val="BodyText"/>
      </w:pPr>
      <w:r>
        <w:lastRenderedPageBreak/>
        <w:t>In 2022-23 the Accountant was appointed as trustee in 91.2% of bankruptcies awarded, compared with 90.3% of bankruptcy awards in 2021-22. In the remaining 8.8% of cases, an IP was the nominated trustee in 2022-23.</w:t>
      </w:r>
    </w:p>
    <w:p w14:paraId="20BCAA7C" w14:textId="77777777" w:rsidR="004C3088" w:rsidRDefault="002556CC">
      <w:pPr>
        <w:pStyle w:val="BodyText"/>
      </w:pPr>
      <w:r>
        <w:t>The Accountant does not seek appointment as trustee in bankruptcies in Scotland but may be appointed as a default trustee if no other nomination is made.</w:t>
      </w:r>
    </w:p>
    <w:p w14:paraId="00E51B9C" w14:textId="77777777" w:rsidR="004C3088" w:rsidRDefault="002556CC">
      <w:pPr>
        <w:pStyle w:val="BodyText"/>
      </w:pPr>
      <w:r>
        <w:t>The number of cases where The Accountant was appointed as trustee was 2,149, an increase from 2,081 in 2021-22. The number of cases where an IP was appointed trustee decreased from 224 in 2021-22 to 208 in 2022-23.</w:t>
      </w:r>
    </w:p>
    <w:p w14:paraId="7060EADD" w14:textId="77777777" w:rsidR="004C3088" w:rsidRDefault="004C3088">
      <w:pPr>
        <w:pStyle w:val="BodyText"/>
      </w:pPr>
    </w:p>
    <w:p w14:paraId="511F0D28" w14:textId="77777777" w:rsidR="004C3088" w:rsidRDefault="002556CC">
      <w:pPr>
        <w:pStyle w:val="Heading3"/>
      </w:pPr>
      <w:bookmarkStart w:id="12" w:name="Xc21eb5c5fc342dcfd85b8a18d817dcb53e44a8c"/>
      <w:r>
        <w:t>Awards of bankruptcy by local authority area in 2022-23</w:t>
      </w:r>
      <w:bookmarkEnd w:id="12"/>
    </w:p>
    <w:p w14:paraId="2F489A10" w14:textId="77777777" w:rsidR="004C3088" w:rsidRDefault="002556CC">
      <w:pPr>
        <w:pStyle w:val="FirstParagraph"/>
      </w:pPr>
      <w:r>
        <w:t>The number of bankruptcies awarded can be shown by local authority areas, based on the applicant’s postcode. Using the estimated adult population (aged 16+) of each local authority, the number of bankruptcies per 10,000 adults can be calculated, providing a representative picture of the concentration of bankruptcies in Scotland.</w:t>
      </w:r>
    </w:p>
    <w:p w14:paraId="0F4B2C2F" w14:textId="77777777" w:rsidR="004C3088" w:rsidRDefault="002556CC">
      <w:pPr>
        <w:pStyle w:val="BodyText"/>
      </w:pPr>
      <w:r>
        <w:t>Several elements such as access to debt advice, social perception of debt or ease of access to credit can affect the uptake of statutory debt solutions (bankruptcies awarded, PTDs registered and DAS DPPs approved). Consequently, the figures presented in this report cannot be regarded as evidence of the level of indebtedness or economic performance in any particular local authority.</w:t>
      </w:r>
    </w:p>
    <w:p w14:paraId="51EACEC8" w14:textId="77777777" w:rsidR="004C3088" w:rsidRDefault="002556CC">
      <w:pPr>
        <w:pStyle w:val="BodyText"/>
      </w:pPr>
      <w:r>
        <w:t>The rate of bankruptcies per 10,000 adults in Scotland was 5 in 2022-23, the same rate as in 2021-22.</w:t>
      </w:r>
    </w:p>
    <w:p w14:paraId="380BA1FA" w14:textId="77777777" w:rsidR="004C3088" w:rsidRDefault="002556CC">
      <w:pPr>
        <w:pStyle w:val="BodyText"/>
      </w:pPr>
      <w:r>
        <w:t>Local Authority Chart 1 and the associated heatmap that depict bankruptcy rates show that West Lothian was the local authority with the highest rate of bankruptcies per 10,000 adults in Scotland. West Dunbartonshire was the local authority area with the second highest rate of bankruptcies. Stirling and Dumfries &amp; Galloway were with the lowest and second lowest rate of bankruptcies.</w:t>
      </w:r>
    </w:p>
    <w:p w14:paraId="0FAC5AA7" w14:textId="77777777" w:rsidR="00F92D87" w:rsidRDefault="002556CC" w:rsidP="00F92D87">
      <w:pPr>
        <w:pStyle w:val="BodyText"/>
      </w:pPr>
      <w:r>
        <w:t>Awards of bankruptcy (and for other statutory debt solutions) by local authority and for previous years are available in the accompanying tables.</w:t>
      </w:r>
    </w:p>
    <w:p w14:paraId="44F3AFEE" w14:textId="77777777" w:rsidR="00F92D87" w:rsidRDefault="00F92D87" w:rsidP="00F92D87">
      <w:pPr>
        <w:pStyle w:val="BodyText"/>
      </w:pPr>
    </w:p>
    <w:p w14:paraId="4DEB7EB8" w14:textId="77777777" w:rsidR="00F92D87" w:rsidRDefault="00F92D87" w:rsidP="00F92D87">
      <w:pPr>
        <w:pStyle w:val="BodyText"/>
      </w:pPr>
    </w:p>
    <w:p w14:paraId="3FC87C71" w14:textId="53B12529" w:rsidR="004C3088" w:rsidRDefault="002556CC" w:rsidP="00F92D87">
      <w:pPr>
        <w:pStyle w:val="BodyText"/>
      </w:pPr>
      <w:r>
        <w:rPr>
          <w:noProof/>
        </w:rPr>
        <w:drawing>
          <wp:inline distT="0" distB="0" distL="0" distR="0" wp14:anchorId="0D4F733A" wp14:editId="6024C433">
            <wp:extent cx="5943600" cy="4242598"/>
            <wp:effectExtent l="0" t="0" r="0" b="0"/>
            <wp:docPr id="7" name="Picture" descr="Local Authority Chart 1 shows the top and bottom three rates of bankruptcy per 10,000 adults in 2022-23. This chart shows that West Lothian has the highest rate per 10,000 adults."/>
            <wp:cNvGraphicFramePr/>
            <a:graphic xmlns:a="http://schemas.openxmlformats.org/drawingml/2006/main">
              <a:graphicData uri="http://schemas.openxmlformats.org/drawingml/2006/picture">
                <pic:pic xmlns:pic="http://schemas.openxmlformats.org/drawingml/2006/picture">
                  <pic:nvPicPr>
                    <pic:cNvPr id="8" name="Picture" descr="_pub_chart_la_1_plot.png"/>
                    <pic:cNvPicPr>
                      <a:picLocks noChangeAspect="1" noChangeArrowheads="1"/>
                    </pic:cNvPicPr>
                  </pic:nvPicPr>
                  <pic:blipFill>
                    <a:blip r:embed="rId21"/>
                    <a:stretch>
                      <a:fillRect/>
                    </a:stretch>
                  </pic:blipFill>
                  <pic:spPr bwMode="auto">
                    <a:xfrm>
                      <a:off x="0" y="0"/>
                      <a:ext cx="5943600" cy="4242598"/>
                    </a:xfrm>
                    <a:prstGeom prst="rect">
                      <a:avLst/>
                    </a:prstGeom>
                    <a:noFill/>
                    <a:ln w="9525">
                      <a:noFill/>
                      <a:headEnd/>
                      <a:tailEnd/>
                    </a:ln>
                  </pic:spPr>
                </pic:pic>
              </a:graphicData>
            </a:graphic>
          </wp:inline>
        </w:drawing>
      </w:r>
    </w:p>
    <w:p w14:paraId="07CB5F37" w14:textId="5E69371A" w:rsidR="004C3088" w:rsidRDefault="002556CC">
      <w:pPr>
        <w:pStyle w:val="BodyText"/>
      </w:pPr>
      <w:r>
        <w:rPr>
          <w:noProof/>
        </w:rPr>
        <w:lastRenderedPageBreak/>
        <w:drawing>
          <wp:inline distT="0" distB="0" distL="0" distR="0" wp14:anchorId="0A88432F" wp14:editId="288627AF">
            <wp:extent cx="5504749" cy="8171494"/>
            <wp:effectExtent l="0" t="0" r="0" b="0"/>
            <wp:docPr id="9" name="Picture" descr="Heat Map 1 shows the awards of bankruptcy rates in each local authority in 2022-23 by grouping intervals of 5. This heat map shows that West Lothian is in one of the highest groupings."/>
            <wp:cNvGraphicFramePr/>
            <a:graphic xmlns:a="http://schemas.openxmlformats.org/drawingml/2006/main">
              <a:graphicData uri="http://schemas.openxmlformats.org/drawingml/2006/picture">
                <pic:pic xmlns:pic="http://schemas.openxmlformats.org/drawingml/2006/picture">
                  <pic:nvPicPr>
                    <pic:cNvPr id="10" name="Picture" descr="_Bankruptcy%20by%20LA%202022-23%20-%201.png"/>
                    <pic:cNvPicPr>
                      <a:picLocks noChangeAspect="1" noChangeArrowheads="1"/>
                    </pic:cNvPicPr>
                  </pic:nvPicPr>
                  <pic:blipFill>
                    <a:blip r:embed="rId22"/>
                    <a:stretch>
                      <a:fillRect/>
                    </a:stretch>
                  </pic:blipFill>
                  <pic:spPr bwMode="auto">
                    <a:xfrm>
                      <a:off x="0" y="0"/>
                      <a:ext cx="5504749" cy="8171494"/>
                    </a:xfrm>
                    <a:prstGeom prst="rect">
                      <a:avLst/>
                    </a:prstGeom>
                    <a:noFill/>
                    <a:ln w="9525">
                      <a:noFill/>
                      <a:headEnd/>
                      <a:tailEnd/>
                    </a:ln>
                  </pic:spPr>
                </pic:pic>
              </a:graphicData>
            </a:graphic>
          </wp:inline>
        </w:drawing>
      </w:r>
    </w:p>
    <w:p w14:paraId="20106CAA" w14:textId="77777777" w:rsidR="004C3088" w:rsidRDefault="002556CC">
      <w:pPr>
        <w:pStyle w:val="Heading3"/>
      </w:pPr>
      <w:bookmarkStart w:id="13" w:name="X21103a72db8fd02658ae90d96ed232ece9b821a"/>
      <w:r>
        <w:lastRenderedPageBreak/>
        <w:t>Bankruptcy Restriction Orders and Bankruptcy Restrictions Undertakings</w:t>
      </w:r>
      <w:bookmarkEnd w:id="13"/>
    </w:p>
    <w:p w14:paraId="31258BA0" w14:textId="1DB9A406" w:rsidR="004C3088" w:rsidRDefault="002556CC">
      <w:pPr>
        <w:pStyle w:val="FirstParagraph"/>
      </w:pPr>
      <w:r>
        <w:t xml:space="preserve">Bankruptcy Restriction Orders (BROs) and Bankruptcy Restrictions Undertakings (BRUs) were introduced by The Bankruptcy and Diligence etc. (Scotland) Act 2007 and came into force on 01 April 2008. BRUs were subsequently abolished from April 2015 by the BADA(S) Act 2014, and hence there were no </w:t>
      </w:r>
      <w:proofErr w:type="spellStart"/>
      <w:r>
        <w:t>BRUs</w:t>
      </w:r>
      <w:proofErr w:type="spellEnd"/>
      <w:r>
        <w:t xml:space="preserve"> granted since </w:t>
      </w:r>
      <w:r w:rsidR="00C45BBB">
        <w:t>2016-17</w:t>
      </w:r>
      <w:r>
        <w:t>.</w:t>
      </w:r>
    </w:p>
    <w:p w14:paraId="086A591D" w14:textId="77777777" w:rsidR="004C3088" w:rsidRDefault="002556CC">
      <w:pPr>
        <w:pStyle w:val="BodyText"/>
      </w:pPr>
      <w:r>
        <w:t>The purpose of BROs is to provide a level of protection to businesses and consumers from individuals that have demonstrated misconduct or recklessness before or after the date of bankruptcy. These individuals are held accountable for their actions by the imposition of bankruptcy restrictions for an extended period of time. BROs for a period of between two, but less than five years are imposed by AiB while BROs of a longer duration require an application through the court.</w:t>
      </w:r>
    </w:p>
    <w:p w14:paraId="72E954CB" w14:textId="77777777" w:rsidR="004C3088" w:rsidRDefault="002556CC">
      <w:pPr>
        <w:pStyle w:val="BodyText"/>
      </w:pPr>
      <w:r>
        <w:t>Restrictions are imposed in relatively small numbers when compared with the overall caseload of AiB. In 2022-23, there was a decrease in BROs granted from 8 in 2021-22 to 2 in 2022-23. The BADA(S) Act which came into force in 2015 conferred a new power on AiB to withhold the discharge of non-cooperating bankrupts. This change has contributed to the reduction of BRO volumes in recent years.</w:t>
      </w:r>
    </w:p>
    <w:p w14:paraId="7C66F6D7" w14:textId="77777777" w:rsidR="004C3088" w:rsidRDefault="004C3088">
      <w:pPr>
        <w:pStyle w:val="BodyText"/>
      </w:pPr>
    </w:p>
    <w:p w14:paraId="15188321" w14:textId="77777777" w:rsidR="004C3088" w:rsidRDefault="002556CC">
      <w:pPr>
        <w:pStyle w:val="Heading2"/>
      </w:pPr>
      <w:bookmarkStart w:id="14" w:name="discharge-from-bankruptcy"/>
      <w:bookmarkStart w:id="15" w:name="_Toc142064469"/>
      <w:r>
        <w:t>Discharge from bankruptcy</w:t>
      </w:r>
      <w:bookmarkEnd w:id="14"/>
      <w:bookmarkEnd w:id="15"/>
    </w:p>
    <w:p w14:paraId="686B478D" w14:textId="77777777" w:rsidR="004C3088" w:rsidRDefault="002556CC">
      <w:pPr>
        <w:pStyle w:val="FirstParagraph"/>
      </w:pPr>
      <w:r>
        <w:t>A debtor in a bankruptcy will normally be bankrupt for one year. After this period they may be discharged. Although the debtor is discharged, the administration of the bankruptcy continues until the trustee has dealt with all of the estate and accounted for their work so that they can seek their own discharge. A debtor must continue to cooperate with the trustee until the trustee’s discharge.</w:t>
      </w:r>
    </w:p>
    <w:p w14:paraId="76A4DFC2" w14:textId="77777777" w:rsidR="004C3088" w:rsidRDefault="002556CC">
      <w:pPr>
        <w:pStyle w:val="BodyText"/>
      </w:pPr>
      <w:r>
        <w:t>Table 2 shows that, in 2022-23 there were 2,797 bankruptcies discharged (based on discharge of the trustee), a 27.1% decrease on the previous year.</w:t>
      </w:r>
    </w:p>
    <w:p w14:paraId="6EE963E1" w14:textId="77777777" w:rsidR="00F92D87" w:rsidRDefault="00F92D87" w:rsidP="00F92D87">
      <w:pPr>
        <w:pStyle w:val="BodyText"/>
      </w:pPr>
    </w:p>
    <w:p w14:paraId="54276C2F" w14:textId="77777777" w:rsidR="00F92D87" w:rsidRDefault="00F92D87">
      <w:pPr>
        <w:rPr>
          <w:rFonts w:ascii="Arial" w:hAnsi="Arial"/>
        </w:rPr>
      </w:pPr>
      <w:r>
        <w:br w:type="page"/>
      </w:r>
    </w:p>
    <w:p w14:paraId="7D24717D" w14:textId="273C6CD2" w:rsidR="00F92D87" w:rsidRDefault="00F92D87" w:rsidP="00F92D87">
      <w:pPr>
        <w:pStyle w:val="BodyText"/>
      </w:pPr>
      <w:r>
        <w:lastRenderedPageBreak/>
        <w:t>Table 2: Number of bankruptcies concluded by financial year and type of bankruptcy</w:t>
      </w:r>
    </w:p>
    <w:tbl>
      <w:tblPr>
        <w:tblW w:w="5000" w:type="pct"/>
        <w:jc w:val="center"/>
        <w:tblLook w:val="04A0" w:firstRow="1" w:lastRow="0" w:firstColumn="1" w:lastColumn="0" w:noHBand="0" w:noVBand="1"/>
      </w:tblPr>
      <w:tblGrid>
        <w:gridCol w:w="4234"/>
        <w:gridCol w:w="831"/>
        <w:gridCol w:w="831"/>
        <w:gridCol w:w="831"/>
        <w:gridCol w:w="831"/>
        <w:gridCol w:w="831"/>
        <w:gridCol w:w="971"/>
      </w:tblGrid>
      <w:tr w:rsidR="004C3088" w:rsidRPr="00F92D87" w14:paraId="676B2E7A" w14:textId="77777777" w:rsidTr="00F92D87">
        <w:trPr>
          <w:cantSplit/>
          <w:trHeight w:hRule="exact" w:val="1008"/>
          <w:tblHeader/>
          <w:jc w:val="center"/>
        </w:trPr>
        <w:tc>
          <w:tcPr>
            <w:tcW w:w="2273" w:type="pct"/>
            <w:tcBorders>
              <w:bottom w:val="single" w:sz="8" w:space="0" w:color="BEBEBE"/>
            </w:tcBorders>
            <w:shd w:val="clear" w:color="auto" w:fill="FFFFFF"/>
            <w:tcMar>
              <w:top w:w="0" w:type="dxa"/>
              <w:left w:w="0" w:type="dxa"/>
              <w:bottom w:w="0" w:type="dxa"/>
              <w:right w:w="0" w:type="dxa"/>
            </w:tcMar>
            <w:vAlign w:val="center"/>
          </w:tcPr>
          <w:p w14:paraId="79B5C001"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Financial year of the trustee discharge date</w:t>
            </w:r>
          </w:p>
        </w:tc>
        <w:tc>
          <w:tcPr>
            <w:tcW w:w="455" w:type="pct"/>
            <w:tcBorders>
              <w:bottom w:val="single" w:sz="8" w:space="0" w:color="BEBEBE"/>
            </w:tcBorders>
            <w:shd w:val="clear" w:color="auto" w:fill="FFFFFF"/>
            <w:tcMar>
              <w:top w:w="0" w:type="dxa"/>
              <w:left w:w="0" w:type="dxa"/>
              <w:bottom w:w="0" w:type="dxa"/>
              <w:right w:w="0" w:type="dxa"/>
            </w:tcMar>
            <w:vAlign w:val="center"/>
          </w:tcPr>
          <w:p w14:paraId="4C93EF5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2018-19</w:t>
            </w:r>
          </w:p>
        </w:tc>
        <w:tc>
          <w:tcPr>
            <w:tcW w:w="455" w:type="pct"/>
            <w:tcBorders>
              <w:bottom w:val="single" w:sz="8" w:space="0" w:color="BEBEBE"/>
            </w:tcBorders>
            <w:shd w:val="clear" w:color="auto" w:fill="FFFFFF"/>
            <w:tcMar>
              <w:top w:w="0" w:type="dxa"/>
              <w:left w:w="0" w:type="dxa"/>
              <w:bottom w:w="0" w:type="dxa"/>
              <w:right w:w="0" w:type="dxa"/>
            </w:tcMar>
            <w:vAlign w:val="center"/>
          </w:tcPr>
          <w:p w14:paraId="62516B3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2019-20</w:t>
            </w:r>
          </w:p>
        </w:tc>
        <w:tc>
          <w:tcPr>
            <w:tcW w:w="455" w:type="pct"/>
            <w:tcBorders>
              <w:bottom w:val="single" w:sz="8" w:space="0" w:color="BEBEBE"/>
            </w:tcBorders>
            <w:shd w:val="clear" w:color="auto" w:fill="FFFFFF"/>
            <w:tcMar>
              <w:top w:w="0" w:type="dxa"/>
              <w:left w:w="0" w:type="dxa"/>
              <w:bottom w:w="0" w:type="dxa"/>
              <w:right w:w="0" w:type="dxa"/>
            </w:tcMar>
            <w:vAlign w:val="center"/>
          </w:tcPr>
          <w:p w14:paraId="688B06E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2020-21</w:t>
            </w:r>
          </w:p>
        </w:tc>
        <w:tc>
          <w:tcPr>
            <w:tcW w:w="455" w:type="pct"/>
            <w:tcBorders>
              <w:bottom w:val="single" w:sz="8" w:space="0" w:color="BEBEBE"/>
            </w:tcBorders>
            <w:shd w:val="clear" w:color="auto" w:fill="FFFFFF"/>
            <w:tcMar>
              <w:top w:w="0" w:type="dxa"/>
              <w:left w:w="0" w:type="dxa"/>
              <w:bottom w:w="0" w:type="dxa"/>
              <w:right w:w="0" w:type="dxa"/>
            </w:tcMar>
            <w:vAlign w:val="center"/>
          </w:tcPr>
          <w:p w14:paraId="3895AC2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2021-22</w:t>
            </w:r>
          </w:p>
        </w:tc>
        <w:tc>
          <w:tcPr>
            <w:tcW w:w="455" w:type="pct"/>
            <w:tcBorders>
              <w:bottom w:val="single" w:sz="8" w:space="0" w:color="BEBEBE"/>
            </w:tcBorders>
            <w:shd w:val="clear" w:color="auto" w:fill="FFFFFF"/>
            <w:tcMar>
              <w:top w:w="0" w:type="dxa"/>
              <w:left w:w="0" w:type="dxa"/>
              <w:bottom w:w="0" w:type="dxa"/>
              <w:right w:w="0" w:type="dxa"/>
            </w:tcMar>
            <w:vAlign w:val="center"/>
          </w:tcPr>
          <w:p w14:paraId="60FA503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2022-23</w:t>
            </w:r>
          </w:p>
        </w:tc>
        <w:tc>
          <w:tcPr>
            <w:tcW w:w="455" w:type="pct"/>
            <w:tcBorders>
              <w:bottom w:val="single" w:sz="8" w:space="0" w:color="BEBEBE"/>
            </w:tcBorders>
            <w:shd w:val="clear" w:color="auto" w:fill="FFFFFF"/>
            <w:tcMar>
              <w:top w:w="0" w:type="dxa"/>
              <w:left w:w="0" w:type="dxa"/>
              <w:bottom w:w="0" w:type="dxa"/>
              <w:right w:w="0" w:type="dxa"/>
            </w:tcMar>
            <w:vAlign w:val="center"/>
          </w:tcPr>
          <w:p w14:paraId="7DE5794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Annual change (%)</w:t>
            </w:r>
          </w:p>
        </w:tc>
      </w:tr>
      <w:tr w:rsidR="004C3088" w:rsidRPr="00F92D87" w14:paraId="6CE54D4F" w14:textId="77777777" w:rsidTr="00F92D87">
        <w:trPr>
          <w:cantSplit/>
          <w:trHeight w:hRule="exact" w:val="720"/>
          <w:jc w:val="center"/>
        </w:trPr>
        <w:tc>
          <w:tcPr>
            <w:tcW w:w="2273" w:type="pct"/>
            <w:shd w:val="clear" w:color="auto" w:fill="FFFFFF"/>
            <w:tcMar>
              <w:top w:w="0" w:type="dxa"/>
              <w:left w:w="0" w:type="dxa"/>
              <w:bottom w:w="0" w:type="dxa"/>
              <w:right w:w="0" w:type="dxa"/>
            </w:tcMar>
            <w:vAlign w:val="center"/>
          </w:tcPr>
          <w:p w14:paraId="15E2DE75"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Creditor and trust deed petitions</w:t>
            </w:r>
          </w:p>
        </w:tc>
        <w:tc>
          <w:tcPr>
            <w:tcW w:w="455" w:type="pct"/>
            <w:shd w:val="clear" w:color="auto" w:fill="FFFFFF"/>
            <w:tcMar>
              <w:top w:w="0" w:type="dxa"/>
              <w:left w:w="0" w:type="dxa"/>
              <w:bottom w:w="0" w:type="dxa"/>
              <w:right w:w="0" w:type="dxa"/>
            </w:tcMar>
            <w:vAlign w:val="center"/>
          </w:tcPr>
          <w:p w14:paraId="3B7CE3B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1,097</w:t>
            </w:r>
          </w:p>
        </w:tc>
        <w:tc>
          <w:tcPr>
            <w:tcW w:w="455" w:type="pct"/>
            <w:shd w:val="clear" w:color="auto" w:fill="FFFFFF"/>
            <w:tcMar>
              <w:top w:w="0" w:type="dxa"/>
              <w:left w:w="0" w:type="dxa"/>
              <w:bottom w:w="0" w:type="dxa"/>
              <w:right w:w="0" w:type="dxa"/>
            </w:tcMar>
            <w:vAlign w:val="center"/>
          </w:tcPr>
          <w:p w14:paraId="413848E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797</w:t>
            </w:r>
          </w:p>
        </w:tc>
        <w:tc>
          <w:tcPr>
            <w:tcW w:w="455" w:type="pct"/>
            <w:shd w:val="clear" w:color="auto" w:fill="FFFFFF"/>
            <w:tcMar>
              <w:top w:w="0" w:type="dxa"/>
              <w:left w:w="0" w:type="dxa"/>
              <w:bottom w:w="0" w:type="dxa"/>
              <w:right w:w="0" w:type="dxa"/>
            </w:tcMar>
            <w:vAlign w:val="center"/>
          </w:tcPr>
          <w:p w14:paraId="2750CD6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728</w:t>
            </w:r>
          </w:p>
        </w:tc>
        <w:tc>
          <w:tcPr>
            <w:tcW w:w="455" w:type="pct"/>
            <w:shd w:val="clear" w:color="auto" w:fill="FFFFFF"/>
            <w:tcMar>
              <w:top w:w="0" w:type="dxa"/>
              <w:left w:w="0" w:type="dxa"/>
              <w:bottom w:w="0" w:type="dxa"/>
              <w:right w:w="0" w:type="dxa"/>
            </w:tcMar>
            <w:vAlign w:val="center"/>
          </w:tcPr>
          <w:p w14:paraId="61E5F22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650</w:t>
            </w:r>
          </w:p>
        </w:tc>
        <w:tc>
          <w:tcPr>
            <w:tcW w:w="455" w:type="pct"/>
            <w:shd w:val="clear" w:color="auto" w:fill="FFFFFF"/>
            <w:tcMar>
              <w:top w:w="0" w:type="dxa"/>
              <w:left w:w="0" w:type="dxa"/>
              <w:bottom w:w="0" w:type="dxa"/>
              <w:right w:w="0" w:type="dxa"/>
            </w:tcMar>
            <w:vAlign w:val="center"/>
          </w:tcPr>
          <w:p w14:paraId="4D88231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415</w:t>
            </w:r>
          </w:p>
        </w:tc>
        <w:tc>
          <w:tcPr>
            <w:tcW w:w="455" w:type="pct"/>
            <w:shd w:val="clear" w:color="auto" w:fill="FFFFFF"/>
            <w:tcMar>
              <w:top w:w="0" w:type="dxa"/>
              <w:left w:w="0" w:type="dxa"/>
              <w:bottom w:w="0" w:type="dxa"/>
              <w:right w:w="0" w:type="dxa"/>
            </w:tcMar>
            <w:vAlign w:val="center"/>
          </w:tcPr>
          <w:p w14:paraId="7AB7813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-36.2%</w:t>
            </w:r>
          </w:p>
        </w:tc>
      </w:tr>
      <w:tr w:rsidR="004C3088" w:rsidRPr="00F92D87" w14:paraId="0340CBE4" w14:textId="77777777" w:rsidTr="00F92D87">
        <w:trPr>
          <w:cantSplit/>
          <w:trHeight w:hRule="exact" w:val="513"/>
          <w:jc w:val="center"/>
        </w:trPr>
        <w:tc>
          <w:tcPr>
            <w:tcW w:w="2273" w:type="pct"/>
            <w:shd w:val="clear" w:color="auto" w:fill="FFFFFF"/>
            <w:tcMar>
              <w:top w:w="0" w:type="dxa"/>
              <w:left w:w="0" w:type="dxa"/>
              <w:bottom w:w="0" w:type="dxa"/>
              <w:right w:w="0" w:type="dxa"/>
            </w:tcMar>
            <w:vAlign w:val="center"/>
          </w:tcPr>
          <w:p w14:paraId="33D3B53A"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Debtor applications</w:t>
            </w:r>
          </w:p>
        </w:tc>
        <w:tc>
          <w:tcPr>
            <w:tcW w:w="455" w:type="pct"/>
            <w:shd w:val="clear" w:color="auto" w:fill="FFFFFF"/>
            <w:tcMar>
              <w:top w:w="0" w:type="dxa"/>
              <w:left w:w="0" w:type="dxa"/>
              <w:bottom w:w="0" w:type="dxa"/>
              <w:right w:w="0" w:type="dxa"/>
            </w:tcMar>
            <w:vAlign w:val="center"/>
          </w:tcPr>
          <w:p w14:paraId="5BDC50B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4,518</w:t>
            </w:r>
          </w:p>
        </w:tc>
        <w:tc>
          <w:tcPr>
            <w:tcW w:w="455" w:type="pct"/>
            <w:shd w:val="clear" w:color="auto" w:fill="FFFFFF"/>
            <w:tcMar>
              <w:top w:w="0" w:type="dxa"/>
              <w:left w:w="0" w:type="dxa"/>
              <w:bottom w:w="0" w:type="dxa"/>
              <w:right w:w="0" w:type="dxa"/>
            </w:tcMar>
            <w:vAlign w:val="center"/>
          </w:tcPr>
          <w:p w14:paraId="2E10F30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4,157</w:t>
            </w:r>
          </w:p>
        </w:tc>
        <w:tc>
          <w:tcPr>
            <w:tcW w:w="455" w:type="pct"/>
            <w:shd w:val="clear" w:color="auto" w:fill="FFFFFF"/>
            <w:tcMar>
              <w:top w:w="0" w:type="dxa"/>
              <w:left w:w="0" w:type="dxa"/>
              <w:bottom w:w="0" w:type="dxa"/>
              <w:right w:w="0" w:type="dxa"/>
            </w:tcMar>
            <w:vAlign w:val="center"/>
          </w:tcPr>
          <w:p w14:paraId="5B48A4D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3,509</w:t>
            </w:r>
          </w:p>
        </w:tc>
        <w:tc>
          <w:tcPr>
            <w:tcW w:w="455" w:type="pct"/>
            <w:shd w:val="clear" w:color="auto" w:fill="FFFFFF"/>
            <w:tcMar>
              <w:top w:w="0" w:type="dxa"/>
              <w:left w:w="0" w:type="dxa"/>
              <w:bottom w:w="0" w:type="dxa"/>
              <w:right w:w="0" w:type="dxa"/>
            </w:tcMar>
            <w:vAlign w:val="center"/>
          </w:tcPr>
          <w:p w14:paraId="0CE7CC2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3,188</w:t>
            </w:r>
          </w:p>
        </w:tc>
        <w:tc>
          <w:tcPr>
            <w:tcW w:w="455" w:type="pct"/>
            <w:shd w:val="clear" w:color="auto" w:fill="FFFFFF"/>
            <w:tcMar>
              <w:top w:w="0" w:type="dxa"/>
              <w:left w:w="0" w:type="dxa"/>
              <w:bottom w:w="0" w:type="dxa"/>
              <w:right w:w="0" w:type="dxa"/>
            </w:tcMar>
            <w:vAlign w:val="center"/>
          </w:tcPr>
          <w:p w14:paraId="338EDE8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2,382</w:t>
            </w:r>
          </w:p>
        </w:tc>
        <w:tc>
          <w:tcPr>
            <w:tcW w:w="455" w:type="pct"/>
            <w:shd w:val="clear" w:color="auto" w:fill="FFFFFF"/>
            <w:tcMar>
              <w:top w:w="0" w:type="dxa"/>
              <w:left w:w="0" w:type="dxa"/>
              <w:bottom w:w="0" w:type="dxa"/>
              <w:right w:w="0" w:type="dxa"/>
            </w:tcMar>
            <w:vAlign w:val="center"/>
          </w:tcPr>
          <w:p w14:paraId="0AFC11B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-25.3%</w:t>
            </w:r>
          </w:p>
        </w:tc>
      </w:tr>
      <w:tr w:rsidR="004C3088" w:rsidRPr="00F92D87" w14:paraId="2FF77C0C" w14:textId="77777777" w:rsidTr="00F92D87">
        <w:trPr>
          <w:cantSplit/>
          <w:trHeight w:hRule="exact" w:val="718"/>
          <w:jc w:val="center"/>
        </w:trPr>
        <w:tc>
          <w:tcPr>
            <w:tcW w:w="2273" w:type="pct"/>
            <w:shd w:val="clear" w:color="auto" w:fill="FFFFFF"/>
            <w:tcMar>
              <w:top w:w="0" w:type="dxa"/>
              <w:left w:w="0" w:type="dxa"/>
              <w:bottom w:w="0" w:type="dxa"/>
              <w:right w:w="0" w:type="dxa"/>
            </w:tcMar>
            <w:vAlign w:val="center"/>
          </w:tcPr>
          <w:p w14:paraId="67DA8998"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debtor application: Minimal Asset Process</w:t>
            </w:r>
          </w:p>
        </w:tc>
        <w:tc>
          <w:tcPr>
            <w:tcW w:w="455" w:type="pct"/>
            <w:shd w:val="clear" w:color="auto" w:fill="FFFFFF"/>
            <w:tcMar>
              <w:top w:w="0" w:type="dxa"/>
              <w:left w:w="0" w:type="dxa"/>
              <w:bottom w:w="0" w:type="dxa"/>
              <w:right w:w="0" w:type="dxa"/>
            </w:tcMar>
            <w:vAlign w:val="center"/>
          </w:tcPr>
          <w:p w14:paraId="45DD8D0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1,992</w:t>
            </w:r>
          </w:p>
        </w:tc>
        <w:tc>
          <w:tcPr>
            <w:tcW w:w="455" w:type="pct"/>
            <w:shd w:val="clear" w:color="auto" w:fill="FFFFFF"/>
            <w:tcMar>
              <w:top w:w="0" w:type="dxa"/>
              <w:left w:w="0" w:type="dxa"/>
              <w:bottom w:w="0" w:type="dxa"/>
              <w:right w:w="0" w:type="dxa"/>
            </w:tcMar>
            <w:vAlign w:val="center"/>
          </w:tcPr>
          <w:p w14:paraId="5F77F2D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2,146</w:t>
            </w:r>
          </w:p>
        </w:tc>
        <w:tc>
          <w:tcPr>
            <w:tcW w:w="455" w:type="pct"/>
            <w:shd w:val="clear" w:color="auto" w:fill="FFFFFF"/>
            <w:tcMar>
              <w:top w:w="0" w:type="dxa"/>
              <w:left w:w="0" w:type="dxa"/>
              <w:bottom w:w="0" w:type="dxa"/>
              <w:right w:w="0" w:type="dxa"/>
            </w:tcMar>
            <w:vAlign w:val="center"/>
          </w:tcPr>
          <w:p w14:paraId="17AD511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1,694</w:t>
            </w:r>
          </w:p>
        </w:tc>
        <w:tc>
          <w:tcPr>
            <w:tcW w:w="455" w:type="pct"/>
            <w:shd w:val="clear" w:color="auto" w:fill="FFFFFF"/>
            <w:tcMar>
              <w:top w:w="0" w:type="dxa"/>
              <w:left w:w="0" w:type="dxa"/>
              <w:bottom w:w="0" w:type="dxa"/>
              <w:right w:w="0" w:type="dxa"/>
            </w:tcMar>
            <w:vAlign w:val="center"/>
          </w:tcPr>
          <w:p w14:paraId="6F0CD7C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1,571</w:t>
            </w:r>
          </w:p>
        </w:tc>
        <w:tc>
          <w:tcPr>
            <w:tcW w:w="455" w:type="pct"/>
            <w:shd w:val="clear" w:color="auto" w:fill="FFFFFF"/>
            <w:tcMar>
              <w:top w:w="0" w:type="dxa"/>
              <w:left w:w="0" w:type="dxa"/>
              <w:bottom w:w="0" w:type="dxa"/>
              <w:right w:w="0" w:type="dxa"/>
            </w:tcMar>
            <w:vAlign w:val="center"/>
          </w:tcPr>
          <w:p w14:paraId="5ABE501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1,514</w:t>
            </w:r>
          </w:p>
        </w:tc>
        <w:tc>
          <w:tcPr>
            <w:tcW w:w="455" w:type="pct"/>
            <w:shd w:val="clear" w:color="auto" w:fill="FFFFFF"/>
            <w:tcMar>
              <w:top w:w="0" w:type="dxa"/>
              <w:left w:w="0" w:type="dxa"/>
              <w:bottom w:w="0" w:type="dxa"/>
              <w:right w:w="0" w:type="dxa"/>
            </w:tcMar>
            <w:vAlign w:val="center"/>
          </w:tcPr>
          <w:p w14:paraId="5212A2A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-3.6%</w:t>
            </w:r>
          </w:p>
        </w:tc>
      </w:tr>
      <w:tr w:rsidR="004C3088" w:rsidRPr="00F92D87" w14:paraId="32B93758" w14:textId="77777777" w:rsidTr="00F92D87">
        <w:trPr>
          <w:cantSplit/>
          <w:trHeight w:hRule="exact" w:val="700"/>
          <w:jc w:val="center"/>
        </w:trPr>
        <w:tc>
          <w:tcPr>
            <w:tcW w:w="2273" w:type="pct"/>
            <w:shd w:val="clear" w:color="auto" w:fill="FFFFFF"/>
            <w:tcMar>
              <w:top w:w="0" w:type="dxa"/>
              <w:left w:w="0" w:type="dxa"/>
              <w:bottom w:w="0" w:type="dxa"/>
              <w:right w:w="0" w:type="dxa"/>
            </w:tcMar>
            <w:vAlign w:val="center"/>
          </w:tcPr>
          <w:p w14:paraId="445EB0DA"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debtor application: Full Administration</w:t>
            </w:r>
          </w:p>
        </w:tc>
        <w:tc>
          <w:tcPr>
            <w:tcW w:w="455" w:type="pct"/>
            <w:shd w:val="clear" w:color="auto" w:fill="FFFFFF"/>
            <w:tcMar>
              <w:top w:w="0" w:type="dxa"/>
              <w:left w:w="0" w:type="dxa"/>
              <w:bottom w:w="0" w:type="dxa"/>
              <w:right w:w="0" w:type="dxa"/>
            </w:tcMar>
            <w:vAlign w:val="center"/>
          </w:tcPr>
          <w:p w14:paraId="7FB3628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2,526</w:t>
            </w:r>
          </w:p>
        </w:tc>
        <w:tc>
          <w:tcPr>
            <w:tcW w:w="455" w:type="pct"/>
            <w:shd w:val="clear" w:color="auto" w:fill="FFFFFF"/>
            <w:tcMar>
              <w:top w:w="0" w:type="dxa"/>
              <w:left w:w="0" w:type="dxa"/>
              <w:bottom w:w="0" w:type="dxa"/>
              <w:right w:w="0" w:type="dxa"/>
            </w:tcMar>
            <w:vAlign w:val="center"/>
          </w:tcPr>
          <w:p w14:paraId="1FD7ABE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2,011</w:t>
            </w:r>
          </w:p>
        </w:tc>
        <w:tc>
          <w:tcPr>
            <w:tcW w:w="455" w:type="pct"/>
            <w:shd w:val="clear" w:color="auto" w:fill="FFFFFF"/>
            <w:tcMar>
              <w:top w:w="0" w:type="dxa"/>
              <w:left w:w="0" w:type="dxa"/>
              <w:bottom w:w="0" w:type="dxa"/>
              <w:right w:w="0" w:type="dxa"/>
            </w:tcMar>
            <w:vAlign w:val="center"/>
          </w:tcPr>
          <w:p w14:paraId="2FE9EB0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1,815</w:t>
            </w:r>
          </w:p>
        </w:tc>
        <w:tc>
          <w:tcPr>
            <w:tcW w:w="455" w:type="pct"/>
            <w:shd w:val="clear" w:color="auto" w:fill="FFFFFF"/>
            <w:tcMar>
              <w:top w:w="0" w:type="dxa"/>
              <w:left w:w="0" w:type="dxa"/>
              <w:bottom w:w="0" w:type="dxa"/>
              <w:right w:w="0" w:type="dxa"/>
            </w:tcMar>
            <w:vAlign w:val="center"/>
          </w:tcPr>
          <w:p w14:paraId="3BEA0A9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1,617</w:t>
            </w:r>
          </w:p>
        </w:tc>
        <w:tc>
          <w:tcPr>
            <w:tcW w:w="455" w:type="pct"/>
            <w:shd w:val="clear" w:color="auto" w:fill="FFFFFF"/>
            <w:tcMar>
              <w:top w:w="0" w:type="dxa"/>
              <w:left w:w="0" w:type="dxa"/>
              <w:bottom w:w="0" w:type="dxa"/>
              <w:right w:w="0" w:type="dxa"/>
            </w:tcMar>
            <w:vAlign w:val="center"/>
          </w:tcPr>
          <w:p w14:paraId="1CA417C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868</w:t>
            </w:r>
          </w:p>
        </w:tc>
        <w:tc>
          <w:tcPr>
            <w:tcW w:w="455" w:type="pct"/>
            <w:shd w:val="clear" w:color="auto" w:fill="FFFFFF"/>
            <w:tcMar>
              <w:top w:w="0" w:type="dxa"/>
              <w:left w:w="0" w:type="dxa"/>
              <w:bottom w:w="0" w:type="dxa"/>
              <w:right w:w="0" w:type="dxa"/>
            </w:tcMar>
            <w:vAlign w:val="center"/>
          </w:tcPr>
          <w:p w14:paraId="5E31ACA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-46.3%</w:t>
            </w:r>
          </w:p>
        </w:tc>
      </w:tr>
      <w:tr w:rsidR="004C3088" w:rsidRPr="00F92D87" w14:paraId="6DE06675" w14:textId="77777777" w:rsidTr="00F92D87">
        <w:trPr>
          <w:cantSplit/>
          <w:trHeight w:hRule="exact" w:val="720"/>
          <w:jc w:val="center"/>
        </w:trPr>
        <w:tc>
          <w:tcPr>
            <w:tcW w:w="2273" w:type="pct"/>
            <w:shd w:val="clear" w:color="auto" w:fill="FFFFFF"/>
            <w:tcMar>
              <w:top w:w="0" w:type="dxa"/>
              <w:left w:w="0" w:type="dxa"/>
              <w:bottom w:w="0" w:type="dxa"/>
              <w:right w:w="0" w:type="dxa"/>
            </w:tcMar>
            <w:vAlign w:val="center"/>
          </w:tcPr>
          <w:p w14:paraId="068CF90C"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Total number of bankruptcies concluded</w:t>
            </w:r>
          </w:p>
        </w:tc>
        <w:tc>
          <w:tcPr>
            <w:tcW w:w="455" w:type="pct"/>
            <w:shd w:val="clear" w:color="auto" w:fill="FFFFFF"/>
            <w:tcMar>
              <w:top w:w="0" w:type="dxa"/>
              <w:left w:w="0" w:type="dxa"/>
              <w:bottom w:w="0" w:type="dxa"/>
              <w:right w:w="0" w:type="dxa"/>
            </w:tcMar>
            <w:vAlign w:val="center"/>
          </w:tcPr>
          <w:p w14:paraId="693AFF2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5,615</w:t>
            </w:r>
          </w:p>
        </w:tc>
        <w:tc>
          <w:tcPr>
            <w:tcW w:w="455" w:type="pct"/>
            <w:shd w:val="clear" w:color="auto" w:fill="FFFFFF"/>
            <w:tcMar>
              <w:top w:w="0" w:type="dxa"/>
              <w:left w:w="0" w:type="dxa"/>
              <w:bottom w:w="0" w:type="dxa"/>
              <w:right w:w="0" w:type="dxa"/>
            </w:tcMar>
            <w:vAlign w:val="center"/>
          </w:tcPr>
          <w:p w14:paraId="175C359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4,954</w:t>
            </w:r>
          </w:p>
        </w:tc>
        <w:tc>
          <w:tcPr>
            <w:tcW w:w="455" w:type="pct"/>
            <w:shd w:val="clear" w:color="auto" w:fill="FFFFFF"/>
            <w:tcMar>
              <w:top w:w="0" w:type="dxa"/>
              <w:left w:w="0" w:type="dxa"/>
              <w:bottom w:w="0" w:type="dxa"/>
              <w:right w:w="0" w:type="dxa"/>
            </w:tcMar>
            <w:vAlign w:val="center"/>
          </w:tcPr>
          <w:p w14:paraId="477FDBC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4,237</w:t>
            </w:r>
          </w:p>
        </w:tc>
        <w:tc>
          <w:tcPr>
            <w:tcW w:w="455" w:type="pct"/>
            <w:shd w:val="clear" w:color="auto" w:fill="FFFFFF"/>
            <w:tcMar>
              <w:top w:w="0" w:type="dxa"/>
              <w:left w:w="0" w:type="dxa"/>
              <w:bottom w:w="0" w:type="dxa"/>
              <w:right w:w="0" w:type="dxa"/>
            </w:tcMar>
            <w:vAlign w:val="center"/>
          </w:tcPr>
          <w:p w14:paraId="0F206FC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3,838</w:t>
            </w:r>
          </w:p>
        </w:tc>
        <w:tc>
          <w:tcPr>
            <w:tcW w:w="455" w:type="pct"/>
            <w:shd w:val="clear" w:color="auto" w:fill="FFFFFF"/>
            <w:tcMar>
              <w:top w:w="0" w:type="dxa"/>
              <w:left w:w="0" w:type="dxa"/>
              <w:bottom w:w="0" w:type="dxa"/>
              <w:right w:w="0" w:type="dxa"/>
            </w:tcMar>
            <w:vAlign w:val="center"/>
          </w:tcPr>
          <w:p w14:paraId="6A6C645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2,797</w:t>
            </w:r>
          </w:p>
        </w:tc>
        <w:tc>
          <w:tcPr>
            <w:tcW w:w="455" w:type="pct"/>
            <w:shd w:val="clear" w:color="auto" w:fill="FFFFFF"/>
            <w:tcMar>
              <w:top w:w="0" w:type="dxa"/>
              <w:left w:w="0" w:type="dxa"/>
              <w:bottom w:w="0" w:type="dxa"/>
              <w:right w:w="0" w:type="dxa"/>
            </w:tcMar>
            <w:vAlign w:val="center"/>
          </w:tcPr>
          <w:p w14:paraId="5B51D83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-27.1%</w:t>
            </w:r>
          </w:p>
        </w:tc>
      </w:tr>
      <w:tr w:rsidR="004C3088" w:rsidRPr="00F92D87" w14:paraId="052D2F44" w14:textId="77777777" w:rsidTr="00F92D87">
        <w:trPr>
          <w:cantSplit/>
          <w:jc w:val="center"/>
        </w:trPr>
        <w:tc>
          <w:tcPr>
            <w:tcW w:w="5000" w:type="pct"/>
            <w:gridSpan w:val="7"/>
            <w:tcBorders>
              <w:top w:val="single" w:sz="8" w:space="0" w:color="BEBEBE"/>
            </w:tcBorders>
            <w:shd w:val="clear" w:color="auto" w:fill="FFFFFF"/>
            <w:tcMar>
              <w:top w:w="0" w:type="dxa"/>
              <w:left w:w="0" w:type="dxa"/>
              <w:bottom w:w="0" w:type="dxa"/>
              <w:right w:w="0" w:type="dxa"/>
            </w:tcMar>
            <w:vAlign w:val="center"/>
          </w:tcPr>
          <w:p w14:paraId="54C78459" w14:textId="77777777" w:rsidR="004C3088" w:rsidRPr="00F92D87" w:rsidRDefault="002556CC">
            <w:pPr>
              <w:spacing w:after="0"/>
              <w:rPr>
                <w:rFonts w:ascii="Arial" w:hAnsi="Arial" w:cs="Arial"/>
                <w:sz w:val="22"/>
                <w:szCs w:val="22"/>
              </w:rPr>
            </w:pPr>
            <w:r w:rsidRPr="00F92D87">
              <w:rPr>
                <w:rFonts w:ascii="Arial" w:eastAsia="Arial" w:hAnsi="Arial" w:cs="Arial"/>
                <w:color w:val="000000"/>
                <w:sz w:val="22"/>
                <w:szCs w:val="22"/>
              </w:rPr>
              <w:t>Source: Accountant in Bankruptcy</w:t>
            </w:r>
          </w:p>
        </w:tc>
      </w:tr>
    </w:tbl>
    <w:p w14:paraId="317AEA84" w14:textId="77777777" w:rsidR="004C3088" w:rsidRDefault="004C3088">
      <w:pPr>
        <w:pStyle w:val="BodyText"/>
      </w:pPr>
    </w:p>
    <w:p w14:paraId="5383A73D" w14:textId="77777777" w:rsidR="004C3088" w:rsidRDefault="002556CC">
      <w:pPr>
        <w:pStyle w:val="BodyText"/>
      </w:pPr>
      <w:r>
        <w:t>When the trustee in a bankruptcy is discharged, any funds gathered in respect of debts are divided among the creditors depending on the type of debt included in the bankruptcy. Secured debt is backed by some form of collateral, for example, secured debt over property. Preferred debt is payable before ordinary and postponed debts in a bankruptcy, PTD, or the winding up of a company.</w:t>
      </w:r>
    </w:p>
    <w:p w14:paraId="7CB3AE77" w14:textId="77777777" w:rsidR="004C3088" w:rsidRDefault="002556CC">
      <w:pPr>
        <w:pStyle w:val="BodyText"/>
      </w:pPr>
      <w:r>
        <w:t>It should be noted, however, that the protected status of many preferred creditors was abolished following revisions to the legislation in September 2003. Ordinary debt is any other type that is not preferred or secured.</w:t>
      </w:r>
    </w:p>
    <w:p w14:paraId="14390D3C" w14:textId="77777777" w:rsidR="004C3088" w:rsidRDefault="002556CC">
      <w:pPr>
        <w:pStyle w:val="BodyText"/>
      </w:pPr>
      <w:r>
        <w:t>Table 3 shows the number of awards concluded during 2022-23 and the dividend outcome of the discharged cases.</w:t>
      </w:r>
    </w:p>
    <w:p w14:paraId="011111BB" w14:textId="77777777" w:rsidR="00F92D87" w:rsidRDefault="00F92D87" w:rsidP="00F92D87">
      <w:pPr>
        <w:pStyle w:val="BodyText"/>
      </w:pPr>
    </w:p>
    <w:p w14:paraId="57F9A08E" w14:textId="77777777" w:rsidR="00F92D87" w:rsidRDefault="00F92D87">
      <w:pPr>
        <w:rPr>
          <w:rFonts w:ascii="Arial" w:hAnsi="Arial"/>
        </w:rPr>
      </w:pPr>
      <w:r>
        <w:br w:type="page"/>
      </w:r>
    </w:p>
    <w:p w14:paraId="14A15FE3" w14:textId="24792E80" w:rsidR="00F92D87" w:rsidRDefault="00F92D87" w:rsidP="00F92D87">
      <w:pPr>
        <w:pStyle w:val="BodyText"/>
      </w:pPr>
      <w:r>
        <w:lastRenderedPageBreak/>
        <w:t>Table 3: Balance of bankruptcy cases by financial year and whether a dividend was payable or not</w:t>
      </w:r>
    </w:p>
    <w:tbl>
      <w:tblPr>
        <w:tblW w:w="5000" w:type="pct"/>
        <w:jc w:val="center"/>
        <w:tblLook w:val="04A0" w:firstRow="1" w:lastRow="0" w:firstColumn="1" w:lastColumn="0" w:noHBand="0" w:noVBand="1"/>
      </w:tblPr>
      <w:tblGrid>
        <w:gridCol w:w="4680"/>
        <w:gridCol w:w="936"/>
        <w:gridCol w:w="936"/>
        <w:gridCol w:w="936"/>
        <w:gridCol w:w="936"/>
        <w:gridCol w:w="936"/>
      </w:tblGrid>
      <w:tr w:rsidR="004C3088" w:rsidRPr="00F92D87" w14:paraId="56B95B1E" w14:textId="77777777" w:rsidTr="00F92D87">
        <w:trPr>
          <w:cantSplit/>
          <w:trHeight w:val="586"/>
          <w:tblHeader/>
          <w:jc w:val="center"/>
        </w:trPr>
        <w:tc>
          <w:tcPr>
            <w:tcW w:w="2500" w:type="pct"/>
            <w:tcBorders>
              <w:bottom w:val="single" w:sz="8" w:space="0" w:color="BEBEBE"/>
            </w:tcBorders>
            <w:shd w:val="clear" w:color="auto" w:fill="FFFFFF"/>
            <w:tcMar>
              <w:top w:w="0" w:type="dxa"/>
              <w:left w:w="0" w:type="dxa"/>
              <w:bottom w:w="0" w:type="dxa"/>
              <w:right w:w="0" w:type="dxa"/>
            </w:tcMar>
            <w:vAlign w:val="center"/>
          </w:tcPr>
          <w:p w14:paraId="5D7D4745"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Financial year</w:t>
            </w:r>
          </w:p>
        </w:tc>
        <w:tc>
          <w:tcPr>
            <w:tcW w:w="500" w:type="pct"/>
            <w:tcBorders>
              <w:bottom w:val="single" w:sz="8" w:space="0" w:color="BEBEBE"/>
            </w:tcBorders>
            <w:shd w:val="clear" w:color="auto" w:fill="FFFFFF"/>
            <w:tcMar>
              <w:top w:w="0" w:type="dxa"/>
              <w:left w:w="0" w:type="dxa"/>
              <w:bottom w:w="0" w:type="dxa"/>
              <w:right w:w="0" w:type="dxa"/>
            </w:tcMar>
            <w:vAlign w:val="center"/>
          </w:tcPr>
          <w:p w14:paraId="2A241BA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2018-19</w:t>
            </w:r>
          </w:p>
        </w:tc>
        <w:tc>
          <w:tcPr>
            <w:tcW w:w="500" w:type="pct"/>
            <w:tcBorders>
              <w:bottom w:val="single" w:sz="8" w:space="0" w:color="BEBEBE"/>
            </w:tcBorders>
            <w:shd w:val="clear" w:color="auto" w:fill="FFFFFF"/>
            <w:tcMar>
              <w:top w:w="0" w:type="dxa"/>
              <w:left w:w="0" w:type="dxa"/>
              <w:bottom w:w="0" w:type="dxa"/>
              <w:right w:w="0" w:type="dxa"/>
            </w:tcMar>
            <w:vAlign w:val="center"/>
          </w:tcPr>
          <w:p w14:paraId="46468E1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2019-20</w:t>
            </w:r>
          </w:p>
        </w:tc>
        <w:tc>
          <w:tcPr>
            <w:tcW w:w="500" w:type="pct"/>
            <w:tcBorders>
              <w:bottom w:val="single" w:sz="8" w:space="0" w:color="BEBEBE"/>
            </w:tcBorders>
            <w:shd w:val="clear" w:color="auto" w:fill="FFFFFF"/>
            <w:tcMar>
              <w:top w:w="0" w:type="dxa"/>
              <w:left w:w="0" w:type="dxa"/>
              <w:bottom w:w="0" w:type="dxa"/>
              <w:right w:w="0" w:type="dxa"/>
            </w:tcMar>
            <w:vAlign w:val="center"/>
          </w:tcPr>
          <w:p w14:paraId="1BC6FFA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2020-21</w:t>
            </w:r>
          </w:p>
        </w:tc>
        <w:tc>
          <w:tcPr>
            <w:tcW w:w="500" w:type="pct"/>
            <w:tcBorders>
              <w:bottom w:val="single" w:sz="8" w:space="0" w:color="BEBEBE"/>
            </w:tcBorders>
            <w:shd w:val="clear" w:color="auto" w:fill="FFFFFF"/>
            <w:tcMar>
              <w:top w:w="0" w:type="dxa"/>
              <w:left w:w="0" w:type="dxa"/>
              <w:bottom w:w="0" w:type="dxa"/>
              <w:right w:w="0" w:type="dxa"/>
            </w:tcMar>
            <w:vAlign w:val="center"/>
          </w:tcPr>
          <w:p w14:paraId="3C4B3D1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2021-22</w:t>
            </w:r>
          </w:p>
        </w:tc>
        <w:tc>
          <w:tcPr>
            <w:tcW w:w="500" w:type="pct"/>
            <w:tcBorders>
              <w:bottom w:val="single" w:sz="8" w:space="0" w:color="BEBEBE"/>
            </w:tcBorders>
            <w:shd w:val="clear" w:color="auto" w:fill="FFFFFF"/>
            <w:tcMar>
              <w:top w:w="0" w:type="dxa"/>
              <w:left w:w="0" w:type="dxa"/>
              <w:bottom w:w="0" w:type="dxa"/>
              <w:right w:w="0" w:type="dxa"/>
            </w:tcMar>
            <w:vAlign w:val="center"/>
          </w:tcPr>
          <w:p w14:paraId="2D74038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2022-23</w:t>
            </w:r>
          </w:p>
        </w:tc>
      </w:tr>
      <w:tr w:rsidR="004C3088" w:rsidRPr="00F92D87" w14:paraId="0C68109E" w14:textId="77777777" w:rsidTr="00F92D87">
        <w:trPr>
          <w:cantSplit/>
          <w:trHeight w:val="586"/>
          <w:jc w:val="center"/>
        </w:trPr>
        <w:tc>
          <w:tcPr>
            <w:tcW w:w="2500" w:type="pct"/>
            <w:shd w:val="clear" w:color="auto" w:fill="FFFFFF"/>
            <w:tcMar>
              <w:top w:w="0" w:type="dxa"/>
              <w:left w:w="0" w:type="dxa"/>
              <w:bottom w:w="0" w:type="dxa"/>
              <w:right w:w="0" w:type="dxa"/>
            </w:tcMar>
            <w:vAlign w:val="center"/>
          </w:tcPr>
          <w:p w14:paraId="1FE96365"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Live cases at the start of the financial year</w:t>
            </w:r>
          </w:p>
        </w:tc>
        <w:tc>
          <w:tcPr>
            <w:tcW w:w="500" w:type="pct"/>
            <w:shd w:val="clear" w:color="auto" w:fill="FFFFFF"/>
            <w:tcMar>
              <w:top w:w="0" w:type="dxa"/>
              <w:left w:w="0" w:type="dxa"/>
              <w:bottom w:w="0" w:type="dxa"/>
              <w:right w:w="0" w:type="dxa"/>
            </w:tcMar>
            <w:vAlign w:val="center"/>
          </w:tcPr>
          <w:p w14:paraId="5796D6D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10,009</w:t>
            </w:r>
          </w:p>
        </w:tc>
        <w:tc>
          <w:tcPr>
            <w:tcW w:w="500" w:type="pct"/>
            <w:shd w:val="clear" w:color="auto" w:fill="FFFFFF"/>
            <w:tcMar>
              <w:top w:w="0" w:type="dxa"/>
              <w:left w:w="0" w:type="dxa"/>
              <w:bottom w:w="0" w:type="dxa"/>
              <w:right w:w="0" w:type="dxa"/>
            </w:tcMar>
            <w:vAlign w:val="center"/>
          </w:tcPr>
          <w:p w14:paraId="50BC8B9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9,267</w:t>
            </w:r>
          </w:p>
        </w:tc>
        <w:tc>
          <w:tcPr>
            <w:tcW w:w="500" w:type="pct"/>
            <w:shd w:val="clear" w:color="auto" w:fill="FFFFFF"/>
            <w:tcMar>
              <w:top w:w="0" w:type="dxa"/>
              <w:left w:w="0" w:type="dxa"/>
              <w:bottom w:w="0" w:type="dxa"/>
              <w:right w:w="0" w:type="dxa"/>
            </w:tcMar>
            <w:vAlign w:val="center"/>
          </w:tcPr>
          <w:p w14:paraId="6C44BE8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9,061</w:t>
            </w:r>
          </w:p>
        </w:tc>
        <w:tc>
          <w:tcPr>
            <w:tcW w:w="500" w:type="pct"/>
            <w:shd w:val="clear" w:color="auto" w:fill="FFFFFF"/>
            <w:tcMar>
              <w:top w:w="0" w:type="dxa"/>
              <w:left w:w="0" w:type="dxa"/>
              <w:bottom w:w="0" w:type="dxa"/>
              <w:right w:w="0" w:type="dxa"/>
            </w:tcMar>
            <w:vAlign w:val="center"/>
          </w:tcPr>
          <w:p w14:paraId="244E3F9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7,155</w:t>
            </w:r>
          </w:p>
        </w:tc>
        <w:tc>
          <w:tcPr>
            <w:tcW w:w="500" w:type="pct"/>
            <w:shd w:val="clear" w:color="auto" w:fill="FFFFFF"/>
            <w:tcMar>
              <w:top w:w="0" w:type="dxa"/>
              <w:left w:w="0" w:type="dxa"/>
              <w:bottom w:w="0" w:type="dxa"/>
              <w:right w:w="0" w:type="dxa"/>
            </w:tcMar>
            <w:vAlign w:val="center"/>
          </w:tcPr>
          <w:p w14:paraId="68EAA27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5,622</w:t>
            </w:r>
          </w:p>
        </w:tc>
      </w:tr>
      <w:tr w:rsidR="004C3088" w:rsidRPr="00F92D87" w14:paraId="267FEBC7" w14:textId="77777777" w:rsidTr="00F92D87">
        <w:trPr>
          <w:cantSplit/>
          <w:trHeight w:val="586"/>
          <w:jc w:val="center"/>
        </w:trPr>
        <w:tc>
          <w:tcPr>
            <w:tcW w:w="2500" w:type="pct"/>
            <w:shd w:val="clear" w:color="auto" w:fill="FFFFFF"/>
            <w:tcMar>
              <w:top w:w="0" w:type="dxa"/>
              <w:left w:w="0" w:type="dxa"/>
              <w:bottom w:w="0" w:type="dxa"/>
              <w:right w:w="0" w:type="dxa"/>
            </w:tcMar>
            <w:vAlign w:val="center"/>
          </w:tcPr>
          <w:p w14:paraId="0F523F44"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New awards of bankruptcy</w:t>
            </w:r>
          </w:p>
        </w:tc>
        <w:tc>
          <w:tcPr>
            <w:tcW w:w="500" w:type="pct"/>
            <w:shd w:val="clear" w:color="auto" w:fill="FFFFFF"/>
            <w:tcMar>
              <w:top w:w="0" w:type="dxa"/>
              <w:left w:w="0" w:type="dxa"/>
              <w:bottom w:w="0" w:type="dxa"/>
              <w:right w:w="0" w:type="dxa"/>
            </w:tcMar>
            <w:vAlign w:val="center"/>
          </w:tcPr>
          <w:p w14:paraId="6151BA3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4,873</w:t>
            </w:r>
          </w:p>
        </w:tc>
        <w:tc>
          <w:tcPr>
            <w:tcW w:w="500" w:type="pct"/>
            <w:shd w:val="clear" w:color="auto" w:fill="FFFFFF"/>
            <w:tcMar>
              <w:top w:w="0" w:type="dxa"/>
              <w:left w:w="0" w:type="dxa"/>
              <w:bottom w:w="0" w:type="dxa"/>
              <w:right w:w="0" w:type="dxa"/>
            </w:tcMar>
            <w:vAlign w:val="center"/>
          </w:tcPr>
          <w:p w14:paraId="1761B7C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4,748</w:t>
            </w:r>
          </w:p>
        </w:tc>
        <w:tc>
          <w:tcPr>
            <w:tcW w:w="500" w:type="pct"/>
            <w:shd w:val="clear" w:color="auto" w:fill="FFFFFF"/>
            <w:tcMar>
              <w:top w:w="0" w:type="dxa"/>
              <w:left w:w="0" w:type="dxa"/>
              <w:bottom w:w="0" w:type="dxa"/>
              <w:right w:w="0" w:type="dxa"/>
            </w:tcMar>
            <w:vAlign w:val="center"/>
          </w:tcPr>
          <w:p w14:paraId="1AD356E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2,331</w:t>
            </w:r>
          </w:p>
        </w:tc>
        <w:tc>
          <w:tcPr>
            <w:tcW w:w="500" w:type="pct"/>
            <w:shd w:val="clear" w:color="auto" w:fill="FFFFFF"/>
            <w:tcMar>
              <w:top w:w="0" w:type="dxa"/>
              <w:left w:w="0" w:type="dxa"/>
              <w:bottom w:w="0" w:type="dxa"/>
              <w:right w:w="0" w:type="dxa"/>
            </w:tcMar>
            <w:vAlign w:val="center"/>
          </w:tcPr>
          <w:p w14:paraId="38B9DC6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2,305</w:t>
            </w:r>
          </w:p>
        </w:tc>
        <w:tc>
          <w:tcPr>
            <w:tcW w:w="500" w:type="pct"/>
            <w:shd w:val="clear" w:color="auto" w:fill="FFFFFF"/>
            <w:tcMar>
              <w:top w:w="0" w:type="dxa"/>
              <w:left w:w="0" w:type="dxa"/>
              <w:bottom w:w="0" w:type="dxa"/>
              <w:right w:w="0" w:type="dxa"/>
            </w:tcMar>
            <w:vAlign w:val="center"/>
          </w:tcPr>
          <w:p w14:paraId="4D49E26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2,357</w:t>
            </w:r>
          </w:p>
        </w:tc>
      </w:tr>
      <w:tr w:rsidR="004C3088" w:rsidRPr="00F92D87" w14:paraId="2CDBD39B" w14:textId="77777777" w:rsidTr="00F92D87">
        <w:trPr>
          <w:cantSplit/>
          <w:trHeight w:val="586"/>
          <w:jc w:val="center"/>
        </w:trPr>
        <w:tc>
          <w:tcPr>
            <w:tcW w:w="2500" w:type="pct"/>
            <w:shd w:val="clear" w:color="auto" w:fill="FFFFFF"/>
            <w:tcMar>
              <w:top w:w="0" w:type="dxa"/>
              <w:left w:w="0" w:type="dxa"/>
              <w:bottom w:w="0" w:type="dxa"/>
              <w:right w:w="0" w:type="dxa"/>
            </w:tcMar>
            <w:vAlign w:val="center"/>
          </w:tcPr>
          <w:p w14:paraId="14850105"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New discharges of bankruptcy</w:t>
            </w:r>
          </w:p>
        </w:tc>
        <w:tc>
          <w:tcPr>
            <w:tcW w:w="500" w:type="pct"/>
            <w:shd w:val="clear" w:color="auto" w:fill="FFFFFF"/>
            <w:tcMar>
              <w:top w:w="0" w:type="dxa"/>
              <w:left w:w="0" w:type="dxa"/>
              <w:bottom w:w="0" w:type="dxa"/>
              <w:right w:w="0" w:type="dxa"/>
            </w:tcMar>
            <w:vAlign w:val="center"/>
          </w:tcPr>
          <w:p w14:paraId="4D84DA7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5,615</w:t>
            </w:r>
          </w:p>
        </w:tc>
        <w:tc>
          <w:tcPr>
            <w:tcW w:w="500" w:type="pct"/>
            <w:shd w:val="clear" w:color="auto" w:fill="FFFFFF"/>
            <w:tcMar>
              <w:top w:w="0" w:type="dxa"/>
              <w:left w:w="0" w:type="dxa"/>
              <w:bottom w:w="0" w:type="dxa"/>
              <w:right w:w="0" w:type="dxa"/>
            </w:tcMar>
            <w:vAlign w:val="center"/>
          </w:tcPr>
          <w:p w14:paraId="7CBE8D5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4,954</w:t>
            </w:r>
          </w:p>
        </w:tc>
        <w:tc>
          <w:tcPr>
            <w:tcW w:w="500" w:type="pct"/>
            <w:shd w:val="clear" w:color="auto" w:fill="FFFFFF"/>
            <w:tcMar>
              <w:top w:w="0" w:type="dxa"/>
              <w:left w:w="0" w:type="dxa"/>
              <w:bottom w:w="0" w:type="dxa"/>
              <w:right w:w="0" w:type="dxa"/>
            </w:tcMar>
            <w:vAlign w:val="center"/>
          </w:tcPr>
          <w:p w14:paraId="3540B7E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4,237</w:t>
            </w:r>
          </w:p>
        </w:tc>
        <w:tc>
          <w:tcPr>
            <w:tcW w:w="500" w:type="pct"/>
            <w:shd w:val="clear" w:color="auto" w:fill="FFFFFF"/>
            <w:tcMar>
              <w:top w:w="0" w:type="dxa"/>
              <w:left w:w="0" w:type="dxa"/>
              <w:bottom w:w="0" w:type="dxa"/>
              <w:right w:w="0" w:type="dxa"/>
            </w:tcMar>
            <w:vAlign w:val="center"/>
          </w:tcPr>
          <w:p w14:paraId="0EDB80B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3,838</w:t>
            </w:r>
          </w:p>
        </w:tc>
        <w:tc>
          <w:tcPr>
            <w:tcW w:w="500" w:type="pct"/>
            <w:shd w:val="clear" w:color="auto" w:fill="FFFFFF"/>
            <w:tcMar>
              <w:top w:w="0" w:type="dxa"/>
              <w:left w:w="0" w:type="dxa"/>
              <w:bottom w:w="0" w:type="dxa"/>
              <w:right w:w="0" w:type="dxa"/>
            </w:tcMar>
            <w:vAlign w:val="center"/>
          </w:tcPr>
          <w:p w14:paraId="15E5D2F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2,797</w:t>
            </w:r>
          </w:p>
        </w:tc>
      </w:tr>
      <w:tr w:rsidR="004C3088" w:rsidRPr="00F92D87" w14:paraId="76FDCBB7" w14:textId="77777777" w:rsidTr="00F92D87">
        <w:trPr>
          <w:cantSplit/>
          <w:trHeight w:val="586"/>
          <w:jc w:val="center"/>
        </w:trPr>
        <w:tc>
          <w:tcPr>
            <w:tcW w:w="2500" w:type="pct"/>
            <w:shd w:val="clear" w:color="auto" w:fill="FFFFFF"/>
            <w:tcMar>
              <w:top w:w="0" w:type="dxa"/>
              <w:left w:w="0" w:type="dxa"/>
              <w:bottom w:w="0" w:type="dxa"/>
              <w:right w:w="0" w:type="dxa"/>
            </w:tcMar>
            <w:vAlign w:val="center"/>
          </w:tcPr>
          <w:p w14:paraId="0851B4C8"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Recalls</w:t>
            </w:r>
          </w:p>
        </w:tc>
        <w:tc>
          <w:tcPr>
            <w:tcW w:w="500" w:type="pct"/>
            <w:shd w:val="clear" w:color="auto" w:fill="FFFFFF"/>
            <w:tcMar>
              <w:top w:w="0" w:type="dxa"/>
              <w:left w:w="0" w:type="dxa"/>
              <w:bottom w:w="0" w:type="dxa"/>
              <w:right w:w="0" w:type="dxa"/>
            </w:tcMar>
            <w:vAlign w:val="center"/>
          </w:tcPr>
          <w:p w14:paraId="41911D7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44</w:t>
            </w:r>
          </w:p>
        </w:tc>
        <w:tc>
          <w:tcPr>
            <w:tcW w:w="500" w:type="pct"/>
            <w:shd w:val="clear" w:color="auto" w:fill="FFFFFF"/>
            <w:tcMar>
              <w:top w:w="0" w:type="dxa"/>
              <w:left w:w="0" w:type="dxa"/>
              <w:bottom w:w="0" w:type="dxa"/>
              <w:right w:w="0" w:type="dxa"/>
            </w:tcMar>
            <w:vAlign w:val="center"/>
          </w:tcPr>
          <w:p w14:paraId="7724630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73</w:t>
            </w:r>
          </w:p>
        </w:tc>
        <w:tc>
          <w:tcPr>
            <w:tcW w:w="500" w:type="pct"/>
            <w:shd w:val="clear" w:color="auto" w:fill="FFFFFF"/>
            <w:tcMar>
              <w:top w:w="0" w:type="dxa"/>
              <w:left w:w="0" w:type="dxa"/>
              <w:bottom w:w="0" w:type="dxa"/>
              <w:right w:w="0" w:type="dxa"/>
            </w:tcMar>
            <w:vAlign w:val="center"/>
          </w:tcPr>
          <w:p w14:paraId="49F6F21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34</w:t>
            </w:r>
          </w:p>
        </w:tc>
        <w:tc>
          <w:tcPr>
            <w:tcW w:w="500" w:type="pct"/>
            <w:shd w:val="clear" w:color="auto" w:fill="FFFFFF"/>
            <w:tcMar>
              <w:top w:w="0" w:type="dxa"/>
              <w:left w:w="0" w:type="dxa"/>
              <w:bottom w:w="0" w:type="dxa"/>
              <w:right w:w="0" w:type="dxa"/>
            </w:tcMar>
            <w:vAlign w:val="center"/>
          </w:tcPr>
          <w:p w14:paraId="21B2E06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41</w:t>
            </w:r>
          </w:p>
        </w:tc>
        <w:tc>
          <w:tcPr>
            <w:tcW w:w="500" w:type="pct"/>
            <w:shd w:val="clear" w:color="auto" w:fill="FFFFFF"/>
            <w:tcMar>
              <w:top w:w="0" w:type="dxa"/>
              <w:left w:w="0" w:type="dxa"/>
              <w:bottom w:w="0" w:type="dxa"/>
              <w:right w:w="0" w:type="dxa"/>
            </w:tcMar>
            <w:vAlign w:val="center"/>
          </w:tcPr>
          <w:p w14:paraId="6658C80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48</w:t>
            </w:r>
          </w:p>
        </w:tc>
      </w:tr>
      <w:tr w:rsidR="004C3088" w:rsidRPr="00F92D87" w14:paraId="48BB9A8B" w14:textId="77777777" w:rsidTr="00F92D87">
        <w:trPr>
          <w:cantSplit/>
          <w:trHeight w:val="586"/>
          <w:jc w:val="center"/>
        </w:trPr>
        <w:tc>
          <w:tcPr>
            <w:tcW w:w="2500" w:type="pct"/>
            <w:shd w:val="clear" w:color="auto" w:fill="FFFFFF"/>
            <w:tcMar>
              <w:top w:w="0" w:type="dxa"/>
              <w:left w:w="0" w:type="dxa"/>
              <w:bottom w:w="0" w:type="dxa"/>
              <w:right w:w="0" w:type="dxa"/>
            </w:tcMar>
            <w:vAlign w:val="center"/>
          </w:tcPr>
          <w:p w14:paraId="017D2744"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Discharged Minimal Asset Process (no dividend)</w:t>
            </w:r>
          </w:p>
        </w:tc>
        <w:tc>
          <w:tcPr>
            <w:tcW w:w="500" w:type="pct"/>
            <w:shd w:val="clear" w:color="auto" w:fill="FFFFFF"/>
            <w:tcMar>
              <w:top w:w="0" w:type="dxa"/>
              <w:left w:w="0" w:type="dxa"/>
              <w:bottom w:w="0" w:type="dxa"/>
              <w:right w:w="0" w:type="dxa"/>
            </w:tcMar>
            <w:vAlign w:val="center"/>
          </w:tcPr>
          <w:p w14:paraId="395811E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1,992</w:t>
            </w:r>
          </w:p>
        </w:tc>
        <w:tc>
          <w:tcPr>
            <w:tcW w:w="500" w:type="pct"/>
            <w:shd w:val="clear" w:color="auto" w:fill="FFFFFF"/>
            <w:tcMar>
              <w:top w:w="0" w:type="dxa"/>
              <w:left w:w="0" w:type="dxa"/>
              <w:bottom w:w="0" w:type="dxa"/>
              <w:right w:w="0" w:type="dxa"/>
            </w:tcMar>
            <w:vAlign w:val="center"/>
          </w:tcPr>
          <w:p w14:paraId="02B2A4B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2,146</w:t>
            </w:r>
          </w:p>
        </w:tc>
        <w:tc>
          <w:tcPr>
            <w:tcW w:w="500" w:type="pct"/>
            <w:shd w:val="clear" w:color="auto" w:fill="FFFFFF"/>
            <w:tcMar>
              <w:top w:w="0" w:type="dxa"/>
              <w:left w:w="0" w:type="dxa"/>
              <w:bottom w:w="0" w:type="dxa"/>
              <w:right w:w="0" w:type="dxa"/>
            </w:tcMar>
            <w:vAlign w:val="center"/>
          </w:tcPr>
          <w:p w14:paraId="1A665D8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1,694</w:t>
            </w:r>
          </w:p>
        </w:tc>
        <w:tc>
          <w:tcPr>
            <w:tcW w:w="500" w:type="pct"/>
            <w:shd w:val="clear" w:color="auto" w:fill="FFFFFF"/>
            <w:tcMar>
              <w:top w:w="0" w:type="dxa"/>
              <w:left w:w="0" w:type="dxa"/>
              <w:bottom w:w="0" w:type="dxa"/>
              <w:right w:w="0" w:type="dxa"/>
            </w:tcMar>
            <w:vAlign w:val="center"/>
          </w:tcPr>
          <w:p w14:paraId="641E8B0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1,571</w:t>
            </w:r>
          </w:p>
        </w:tc>
        <w:tc>
          <w:tcPr>
            <w:tcW w:w="500" w:type="pct"/>
            <w:shd w:val="clear" w:color="auto" w:fill="FFFFFF"/>
            <w:tcMar>
              <w:top w:w="0" w:type="dxa"/>
              <w:left w:w="0" w:type="dxa"/>
              <w:bottom w:w="0" w:type="dxa"/>
              <w:right w:w="0" w:type="dxa"/>
            </w:tcMar>
            <w:vAlign w:val="center"/>
          </w:tcPr>
          <w:p w14:paraId="02C7DED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1,514</w:t>
            </w:r>
          </w:p>
        </w:tc>
      </w:tr>
      <w:tr w:rsidR="004C3088" w:rsidRPr="00F92D87" w14:paraId="4E2DE6EA" w14:textId="77777777" w:rsidTr="00F92D87">
        <w:trPr>
          <w:cantSplit/>
          <w:trHeight w:val="586"/>
          <w:jc w:val="center"/>
        </w:trPr>
        <w:tc>
          <w:tcPr>
            <w:tcW w:w="2500" w:type="pct"/>
            <w:shd w:val="clear" w:color="auto" w:fill="FFFFFF"/>
            <w:tcMar>
              <w:top w:w="0" w:type="dxa"/>
              <w:left w:w="0" w:type="dxa"/>
              <w:bottom w:w="0" w:type="dxa"/>
              <w:right w:w="0" w:type="dxa"/>
            </w:tcMar>
            <w:vAlign w:val="center"/>
          </w:tcPr>
          <w:p w14:paraId="60249D30"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No dividend was payable</w:t>
            </w:r>
          </w:p>
        </w:tc>
        <w:tc>
          <w:tcPr>
            <w:tcW w:w="500" w:type="pct"/>
            <w:shd w:val="clear" w:color="auto" w:fill="FFFFFF"/>
            <w:tcMar>
              <w:top w:w="0" w:type="dxa"/>
              <w:left w:w="0" w:type="dxa"/>
              <w:bottom w:w="0" w:type="dxa"/>
              <w:right w:w="0" w:type="dxa"/>
            </w:tcMar>
            <w:vAlign w:val="center"/>
          </w:tcPr>
          <w:p w14:paraId="77AF315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2,518</w:t>
            </w:r>
          </w:p>
        </w:tc>
        <w:tc>
          <w:tcPr>
            <w:tcW w:w="500" w:type="pct"/>
            <w:shd w:val="clear" w:color="auto" w:fill="FFFFFF"/>
            <w:tcMar>
              <w:top w:w="0" w:type="dxa"/>
              <w:left w:w="0" w:type="dxa"/>
              <w:bottom w:w="0" w:type="dxa"/>
              <w:right w:w="0" w:type="dxa"/>
            </w:tcMar>
            <w:vAlign w:val="center"/>
          </w:tcPr>
          <w:p w14:paraId="1705074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1,950</w:t>
            </w:r>
          </w:p>
        </w:tc>
        <w:tc>
          <w:tcPr>
            <w:tcW w:w="500" w:type="pct"/>
            <w:shd w:val="clear" w:color="auto" w:fill="FFFFFF"/>
            <w:tcMar>
              <w:top w:w="0" w:type="dxa"/>
              <w:left w:w="0" w:type="dxa"/>
              <w:bottom w:w="0" w:type="dxa"/>
              <w:right w:w="0" w:type="dxa"/>
            </w:tcMar>
            <w:vAlign w:val="center"/>
          </w:tcPr>
          <w:p w14:paraId="36F5615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2,050</w:t>
            </w:r>
          </w:p>
        </w:tc>
        <w:tc>
          <w:tcPr>
            <w:tcW w:w="500" w:type="pct"/>
            <w:shd w:val="clear" w:color="auto" w:fill="FFFFFF"/>
            <w:tcMar>
              <w:top w:w="0" w:type="dxa"/>
              <w:left w:w="0" w:type="dxa"/>
              <w:bottom w:w="0" w:type="dxa"/>
              <w:right w:w="0" w:type="dxa"/>
            </w:tcMar>
            <w:vAlign w:val="center"/>
          </w:tcPr>
          <w:p w14:paraId="7EA4676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1,672</w:t>
            </w:r>
          </w:p>
        </w:tc>
        <w:tc>
          <w:tcPr>
            <w:tcW w:w="500" w:type="pct"/>
            <w:shd w:val="clear" w:color="auto" w:fill="FFFFFF"/>
            <w:tcMar>
              <w:top w:w="0" w:type="dxa"/>
              <w:left w:w="0" w:type="dxa"/>
              <w:bottom w:w="0" w:type="dxa"/>
              <w:right w:w="0" w:type="dxa"/>
            </w:tcMar>
            <w:vAlign w:val="center"/>
          </w:tcPr>
          <w:p w14:paraId="041FAC9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866</w:t>
            </w:r>
          </w:p>
        </w:tc>
      </w:tr>
      <w:tr w:rsidR="004C3088" w:rsidRPr="00F92D87" w14:paraId="79F2D9A4" w14:textId="77777777" w:rsidTr="00F92D87">
        <w:trPr>
          <w:cantSplit/>
          <w:trHeight w:val="586"/>
          <w:jc w:val="center"/>
        </w:trPr>
        <w:tc>
          <w:tcPr>
            <w:tcW w:w="2500" w:type="pct"/>
            <w:shd w:val="clear" w:color="auto" w:fill="FFFFFF"/>
            <w:tcMar>
              <w:top w:w="0" w:type="dxa"/>
              <w:left w:w="0" w:type="dxa"/>
              <w:bottom w:w="0" w:type="dxa"/>
              <w:right w:w="0" w:type="dxa"/>
            </w:tcMar>
            <w:vAlign w:val="center"/>
          </w:tcPr>
          <w:p w14:paraId="52007DB7"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Dividend payable to preferred creditors only</w:t>
            </w:r>
          </w:p>
        </w:tc>
        <w:tc>
          <w:tcPr>
            <w:tcW w:w="500" w:type="pct"/>
            <w:shd w:val="clear" w:color="auto" w:fill="FFFFFF"/>
            <w:tcMar>
              <w:top w:w="0" w:type="dxa"/>
              <w:left w:w="0" w:type="dxa"/>
              <w:bottom w:w="0" w:type="dxa"/>
              <w:right w:w="0" w:type="dxa"/>
            </w:tcMar>
            <w:vAlign w:val="center"/>
          </w:tcPr>
          <w:p w14:paraId="77E3C61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w:t>
            </w:r>
          </w:p>
        </w:tc>
        <w:tc>
          <w:tcPr>
            <w:tcW w:w="500" w:type="pct"/>
            <w:shd w:val="clear" w:color="auto" w:fill="FFFFFF"/>
            <w:tcMar>
              <w:top w:w="0" w:type="dxa"/>
              <w:left w:w="0" w:type="dxa"/>
              <w:bottom w:w="0" w:type="dxa"/>
              <w:right w:w="0" w:type="dxa"/>
            </w:tcMar>
            <w:vAlign w:val="center"/>
          </w:tcPr>
          <w:p w14:paraId="7833872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w:t>
            </w:r>
          </w:p>
        </w:tc>
        <w:tc>
          <w:tcPr>
            <w:tcW w:w="500" w:type="pct"/>
            <w:shd w:val="clear" w:color="auto" w:fill="FFFFFF"/>
            <w:tcMar>
              <w:top w:w="0" w:type="dxa"/>
              <w:left w:w="0" w:type="dxa"/>
              <w:bottom w:w="0" w:type="dxa"/>
              <w:right w:w="0" w:type="dxa"/>
            </w:tcMar>
            <w:vAlign w:val="center"/>
          </w:tcPr>
          <w:p w14:paraId="6BD47D2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500" w:type="pct"/>
            <w:shd w:val="clear" w:color="auto" w:fill="FFFFFF"/>
            <w:tcMar>
              <w:top w:w="0" w:type="dxa"/>
              <w:left w:w="0" w:type="dxa"/>
              <w:bottom w:w="0" w:type="dxa"/>
              <w:right w:w="0" w:type="dxa"/>
            </w:tcMar>
            <w:vAlign w:val="center"/>
          </w:tcPr>
          <w:p w14:paraId="51D2B5A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w:t>
            </w:r>
          </w:p>
        </w:tc>
        <w:tc>
          <w:tcPr>
            <w:tcW w:w="500" w:type="pct"/>
            <w:shd w:val="clear" w:color="auto" w:fill="FFFFFF"/>
            <w:tcMar>
              <w:top w:w="0" w:type="dxa"/>
              <w:left w:w="0" w:type="dxa"/>
              <w:bottom w:w="0" w:type="dxa"/>
              <w:right w:w="0" w:type="dxa"/>
            </w:tcMar>
            <w:vAlign w:val="center"/>
          </w:tcPr>
          <w:p w14:paraId="1B8FE28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r>
      <w:tr w:rsidR="004C3088" w:rsidRPr="00F92D87" w14:paraId="45259A2D" w14:textId="77777777" w:rsidTr="00F92D87">
        <w:trPr>
          <w:cantSplit/>
          <w:trHeight w:val="586"/>
          <w:jc w:val="center"/>
        </w:trPr>
        <w:tc>
          <w:tcPr>
            <w:tcW w:w="2500" w:type="pct"/>
            <w:shd w:val="clear" w:color="auto" w:fill="FFFFFF"/>
            <w:tcMar>
              <w:top w:w="0" w:type="dxa"/>
              <w:left w:w="0" w:type="dxa"/>
              <w:bottom w:w="0" w:type="dxa"/>
              <w:right w:w="0" w:type="dxa"/>
            </w:tcMar>
            <w:vAlign w:val="center"/>
          </w:tcPr>
          <w:p w14:paraId="74945F09"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Dividend payable to ordinary creditors</w:t>
            </w:r>
          </w:p>
        </w:tc>
        <w:tc>
          <w:tcPr>
            <w:tcW w:w="500" w:type="pct"/>
            <w:shd w:val="clear" w:color="auto" w:fill="FFFFFF"/>
            <w:tcMar>
              <w:top w:w="0" w:type="dxa"/>
              <w:left w:w="0" w:type="dxa"/>
              <w:bottom w:w="0" w:type="dxa"/>
              <w:right w:w="0" w:type="dxa"/>
            </w:tcMar>
            <w:vAlign w:val="center"/>
          </w:tcPr>
          <w:p w14:paraId="7B0EE33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1,059</w:t>
            </w:r>
          </w:p>
        </w:tc>
        <w:tc>
          <w:tcPr>
            <w:tcW w:w="500" w:type="pct"/>
            <w:shd w:val="clear" w:color="auto" w:fill="FFFFFF"/>
            <w:tcMar>
              <w:top w:w="0" w:type="dxa"/>
              <w:left w:w="0" w:type="dxa"/>
              <w:bottom w:w="0" w:type="dxa"/>
              <w:right w:w="0" w:type="dxa"/>
            </w:tcMar>
            <w:vAlign w:val="center"/>
          </w:tcPr>
          <w:p w14:paraId="052F941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783</w:t>
            </w:r>
          </w:p>
        </w:tc>
        <w:tc>
          <w:tcPr>
            <w:tcW w:w="500" w:type="pct"/>
            <w:shd w:val="clear" w:color="auto" w:fill="FFFFFF"/>
            <w:tcMar>
              <w:top w:w="0" w:type="dxa"/>
              <w:left w:w="0" w:type="dxa"/>
              <w:bottom w:w="0" w:type="dxa"/>
              <w:right w:w="0" w:type="dxa"/>
            </w:tcMar>
            <w:vAlign w:val="center"/>
          </w:tcPr>
          <w:p w14:paraId="0D5016F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462</w:t>
            </w:r>
          </w:p>
        </w:tc>
        <w:tc>
          <w:tcPr>
            <w:tcW w:w="500" w:type="pct"/>
            <w:shd w:val="clear" w:color="auto" w:fill="FFFFFF"/>
            <w:tcMar>
              <w:top w:w="0" w:type="dxa"/>
              <w:left w:w="0" w:type="dxa"/>
              <w:bottom w:w="0" w:type="dxa"/>
              <w:right w:w="0" w:type="dxa"/>
            </w:tcMar>
            <w:vAlign w:val="center"/>
          </w:tcPr>
          <w:p w14:paraId="548E8DF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548</w:t>
            </w:r>
          </w:p>
        </w:tc>
        <w:tc>
          <w:tcPr>
            <w:tcW w:w="500" w:type="pct"/>
            <w:shd w:val="clear" w:color="auto" w:fill="FFFFFF"/>
            <w:tcMar>
              <w:top w:w="0" w:type="dxa"/>
              <w:left w:w="0" w:type="dxa"/>
              <w:bottom w:w="0" w:type="dxa"/>
              <w:right w:w="0" w:type="dxa"/>
            </w:tcMar>
            <w:vAlign w:val="center"/>
          </w:tcPr>
          <w:p w14:paraId="7BE96DC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371</w:t>
            </w:r>
          </w:p>
        </w:tc>
      </w:tr>
      <w:tr w:rsidR="004C3088" w:rsidRPr="00F92D87" w14:paraId="49FD833A" w14:textId="77777777" w:rsidTr="00F92D87">
        <w:trPr>
          <w:cantSplit/>
          <w:trHeight w:val="586"/>
          <w:jc w:val="center"/>
        </w:trPr>
        <w:tc>
          <w:tcPr>
            <w:tcW w:w="2500" w:type="pct"/>
            <w:shd w:val="clear" w:color="auto" w:fill="FFFFFF"/>
            <w:tcMar>
              <w:top w:w="0" w:type="dxa"/>
              <w:left w:w="0" w:type="dxa"/>
              <w:bottom w:w="0" w:type="dxa"/>
              <w:right w:w="0" w:type="dxa"/>
            </w:tcMar>
            <w:vAlign w:val="center"/>
          </w:tcPr>
          <w:p w14:paraId="4E988863"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Live cases at the end of the financial year</w:t>
            </w:r>
          </w:p>
        </w:tc>
        <w:tc>
          <w:tcPr>
            <w:tcW w:w="500" w:type="pct"/>
            <w:shd w:val="clear" w:color="auto" w:fill="FFFFFF"/>
            <w:tcMar>
              <w:top w:w="0" w:type="dxa"/>
              <w:left w:w="0" w:type="dxa"/>
              <w:bottom w:w="0" w:type="dxa"/>
              <w:right w:w="0" w:type="dxa"/>
            </w:tcMar>
            <w:vAlign w:val="center"/>
          </w:tcPr>
          <w:p w14:paraId="4CB5283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9,267</w:t>
            </w:r>
          </w:p>
        </w:tc>
        <w:tc>
          <w:tcPr>
            <w:tcW w:w="500" w:type="pct"/>
            <w:shd w:val="clear" w:color="auto" w:fill="FFFFFF"/>
            <w:tcMar>
              <w:top w:w="0" w:type="dxa"/>
              <w:left w:w="0" w:type="dxa"/>
              <w:bottom w:w="0" w:type="dxa"/>
              <w:right w:w="0" w:type="dxa"/>
            </w:tcMar>
            <w:vAlign w:val="center"/>
          </w:tcPr>
          <w:p w14:paraId="5CD48F2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9,061</w:t>
            </w:r>
          </w:p>
        </w:tc>
        <w:tc>
          <w:tcPr>
            <w:tcW w:w="500" w:type="pct"/>
            <w:shd w:val="clear" w:color="auto" w:fill="FFFFFF"/>
            <w:tcMar>
              <w:top w:w="0" w:type="dxa"/>
              <w:left w:w="0" w:type="dxa"/>
              <w:bottom w:w="0" w:type="dxa"/>
              <w:right w:w="0" w:type="dxa"/>
            </w:tcMar>
            <w:vAlign w:val="center"/>
          </w:tcPr>
          <w:p w14:paraId="6185E9A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7,155</w:t>
            </w:r>
          </w:p>
        </w:tc>
        <w:tc>
          <w:tcPr>
            <w:tcW w:w="500" w:type="pct"/>
            <w:shd w:val="clear" w:color="auto" w:fill="FFFFFF"/>
            <w:tcMar>
              <w:top w:w="0" w:type="dxa"/>
              <w:left w:w="0" w:type="dxa"/>
              <w:bottom w:w="0" w:type="dxa"/>
              <w:right w:w="0" w:type="dxa"/>
            </w:tcMar>
            <w:vAlign w:val="center"/>
          </w:tcPr>
          <w:p w14:paraId="69623F0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5,622</w:t>
            </w:r>
          </w:p>
        </w:tc>
        <w:tc>
          <w:tcPr>
            <w:tcW w:w="500" w:type="pct"/>
            <w:shd w:val="clear" w:color="auto" w:fill="FFFFFF"/>
            <w:tcMar>
              <w:top w:w="0" w:type="dxa"/>
              <w:left w:w="0" w:type="dxa"/>
              <w:bottom w:w="0" w:type="dxa"/>
              <w:right w:w="0" w:type="dxa"/>
            </w:tcMar>
            <w:vAlign w:val="center"/>
          </w:tcPr>
          <w:p w14:paraId="7918DDA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5,182</w:t>
            </w:r>
          </w:p>
        </w:tc>
      </w:tr>
      <w:tr w:rsidR="004C3088" w:rsidRPr="00F92D87" w14:paraId="228F8156" w14:textId="77777777" w:rsidTr="00F92D87">
        <w:trPr>
          <w:cantSplit/>
          <w:trHeight w:val="586"/>
          <w:jc w:val="center"/>
        </w:trPr>
        <w:tc>
          <w:tcPr>
            <w:tcW w:w="5000" w:type="pct"/>
            <w:gridSpan w:val="6"/>
            <w:tcBorders>
              <w:top w:val="single" w:sz="8" w:space="0" w:color="BEBEBE"/>
            </w:tcBorders>
            <w:shd w:val="clear" w:color="auto" w:fill="FFFFFF"/>
            <w:tcMar>
              <w:top w:w="0" w:type="dxa"/>
              <w:left w:w="0" w:type="dxa"/>
              <w:bottom w:w="0" w:type="dxa"/>
              <w:right w:w="0" w:type="dxa"/>
            </w:tcMar>
            <w:vAlign w:val="center"/>
          </w:tcPr>
          <w:p w14:paraId="1DA01D44" w14:textId="77777777" w:rsidR="004C3088" w:rsidRPr="00F92D87" w:rsidRDefault="002556CC">
            <w:pPr>
              <w:spacing w:after="0"/>
              <w:rPr>
                <w:rFonts w:ascii="Arial" w:hAnsi="Arial" w:cs="Arial"/>
                <w:sz w:val="22"/>
                <w:szCs w:val="22"/>
              </w:rPr>
            </w:pPr>
            <w:r w:rsidRPr="00F92D87">
              <w:rPr>
                <w:rFonts w:ascii="Arial" w:eastAsia="Arial" w:hAnsi="Arial" w:cs="Arial"/>
                <w:color w:val="000000"/>
                <w:sz w:val="22"/>
                <w:szCs w:val="22"/>
              </w:rPr>
              <w:t>Source: Accountant in Bankruptcy</w:t>
            </w:r>
          </w:p>
        </w:tc>
      </w:tr>
    </w:tbl>
    <w:p w14:paraId="76618C97" w14:textId="77777777" w:rsidR="004C3088" w:rsidRDefault="004C3088">
      <w:pPr>
        <w:pStyle w:val="BodyText"/>
      </w:pPr>
    </w:p>
    <w:p w14:paraId="175B8095" w14:textId="77777777" w:rsidR="004C3088" w:rsidRDefault="002556CC">
      <w:pPr>
        <w:pStyle w:val="BodyText"/>
      </w:pPr>
      <w:r>
        <w:t>Of the bankruptcies concluded by discharge of the permanent trustee, 70.0% resulted in no dividend payable to creditors and 30.0% resulted in a dividend payable to ordinary creditors only. This includes cases where a dividend could be payable and therefore excludes MAP cases.</w:t>
      </w:r>
    </w:p>
    <w:p w14:paraId="2C609432" w14:textId="77777777" w:rsidR="004C3088" w:rsidRDefault="002556CC">
      <w:pPr>
        <w:pStyle w:val="BodyText"/>
      </w:pPr>
      <w:r>
        <w:t>If all bankruptcy cases that concluded by discharge of the trustee in 2022-23 are considered, including MAP cases, a dividend was paid to ordinary creditors in 13.3% of cases.</w:t>
      </w:r>
    </w:p>
    <w:p w14:paraId="10220142" w14:textId="77777777" w:rsidR="004C3088" w:rsidRDefault="002556CC">
      <w:pPr>
        <w:pStyle w:val="BodyText"/>
      </w:pPr>
      <w:r>
        <w:t>Around 48.0% of cases where ordinary creditor dividends were paid resulted in a dividend of less than 25 pence in the £, which is less than the 55.1% of cases in 2021-22. Furthermore, 26.4% of cases were paid at 100 pence in the £ plus interest, which is more than the 18.8% of the cases in 2021-22.</w:t>
      </w:r>
    </w:p>
    <w:p w14:paraId="0396F235" w14:textId="12354C6D" w:rsidR="004C3088" w:rsidRDefault="002556CC">
      <w:pPr>
        <w:pStyle w:val="BodyText"/>
      </w:pPr>
      <w:r>
        <w:lastRenderedPageBreak/>
        <w:t xml:space="preserve">For all cases in which a dividend was payable, the mean dividend paid to creditors for all cases including those with zero dividends was 13.1 pence in the £, compared with 9.2 in 2021-22. In cases where The Accountant was appointed as trustee, the mean dividend was 18.1 pence in the £, compared with </w:t>
      </w:r>
      <w:r w:rsidR="00BC41A5">
        <w:t xml:space="preserve">7.6 </w:t>
      </w:r>
      <w:r>
        <w:t>pence in the £ for cases where a private sector trustee was appointed. Dividends are affected by the realised value of estate.</w:t>
      </w:r>
    </w:p>
    <w:p w14:paraId="50D69BB1" w14:textId="77777777" w:rsidR="004C3088" w:rsidRDefault="002556CC">
      <w:pPr>
        <w:pStyle w:val="BodyText"/>
      </w:pPr>
      <w:r>
        <w:t>The above figures reflect the overall return to creditor as a proportion of the total debt claimed - these are equivalent to previous figures contained in the AiB Annual reports although these have been labelled as “Average dividends paid to creditors”.</w:t>
      </w:r>
    </w:p>
    <w:p w14:paraId="541FB73B" w14:textId="77777777" w:rsidR="004C3088" w:rsidRDefault="004C3088">
      <w:pPr>
        <w:pStyle w:val="BodyText"/>
      </w:pPr>
    </w:p>
    <w:p w14:paraId="5FC53BC8" w14:textId="77777777" w:rsidR="004C3088" w:rsidRDefault="002556CC">
      <w:pPr>
        <w:pStyle w:val="Heading3"/>
      </w:pPr>
      <w:bookmarkStart w:id="16" w:name="contracted-out-insolvency-services"/>
      <w:r>
        <w:t>Contracted out insolvency services</w:t>
      </w:r>
      <w:bookmarkEnd w:id="16"/>
    </w:p>
    <w:p w14:paraId="2C935055" w14:textId="77777777" w:rsidR="004C3088" w:rsidRDefault="002556CC">
      <w:pPr>
        <w:pStyle w:val="FirstParagraph"/>
      </w:pPr>
      <w:r>
        <w:t>The Insolvency Service Framework allows AiB to use external providers to administer bankruptcy cases on its behalf, where The Accountant has been appointed trustee.</w:t>
      </w:r>
    </w:p>
    <w:p w14:paraId="2A7D9D34" w14:textId="77777777" w:rsidR="004C3088" w:rsidRDefault="002556CC">
      <w:pPr>
        <w:pStyle w:val="BodyText"/>
      </w:pPr>
      <w:r>
        <w:t>In 2022-23, 710 cases were contracted out and 708 contracted out cases were discharged. Of these discharged cases, 346 (48.9%) were cases with assets realised.</w:t>
      </w:r>
    </w:p>
    <w:p w14:paraId="3004A2F1" w14:textId="77777777" w:rsidR="004C3088" w:rsidRDefault="002556CC">
      <w:pPr>
        <w:pStyle w:val="BodyText"/>
      </w:pPr>
      <w:r>
        <w:t>Further information on these cases including the value of assets realised and the expenses on realisation are shown in the accompanying tables. Note, these figures are rounded to the nearest thousand pound, and totals may not equal the sum of the constituent parts due to rounding.</w:t>
      </w:r>
    </w:p>
    <w:p w14:paraId="3CEBC33B" w14:textId="77777777" w:rsidR="004C3088" w:rsidRDefault="002556CC">
      <w:pPr>
        <w:pStyle w:val="BodyText"/>
      </w:pPr>
      <w:r>
        <w:t>The total value of assets realised was around £11.9 million. Heritable assets, which are properties in the form of land, houses, and buildings that become heritable by accession made up around 63.5% of the value of all assets realised. Ingathered contributions and funds made up 32.2% of the value of all assets realised.</w:t>
      </w:r>
    </w:p>
    <w:p w14:paraId="3BAD7371" w14:textId="77777777" w:rsidR="004C3088" w:rsidRDefault="002556CC">
      <w:pPr>
        <w:pStyle w:val="BodyText"/>
      </w:pPr>
      <w:r>
        <w:t>The total expenses of realisation was around £2.7 million, the majority of which was made up of expenses on secured assets.</w:t>
      </w:r>
    </w:p>
    <w:p w14:paraId="08329B0F" w14:textId="77777777" w:rsidR="004C3088" w:rsidRDefault="004C3088">
      <w:pPr>
        <w:pStyle w:val="BodyText"/>
      </w:pPr>
    </w:p>
    <w:p w14:paraId="18733C3C" w14:textId="77777777" w:rsidR="004C3088" w:rsidRDefault="002556CC">
      <w:pPr>
        <w:pStyle w:val="Heading2"/>
      </w:pPr>
      <w:bookmarkStart w:id="17" w:name="protected-trust-deeds"/>
      <w:bookmarkStart w:id="18" w:name="_Toc142064470"/>
      <w:r>
        <w:lastRenderedPageBreak/>
        <w:t>Protected Trust Deeds</w:t>
      </w:r>
      <w:bookmarkEnd w:id="17"/>
      <w:bookmarkEnd w:id="18"/>
    </w:p>
    <w:p w14:paraId="17DA7C9A" w14:textId="77777777" w:rsidR="004C3088" w:rsidRDefault="002556CC">
      <w:pPr>
        <w:pStyle w:val="FirstParagraph"/>
      </w:pPr>
      <w:r>
        <w:t>A PTD is a formal debt solution where an agreement is made between a debtor and creditors to repay part or all of their debt. The debtor conveys their estate to an IP (the trustee) to administer for the benefit of creditors and the arrangement normally includes a contribution from income for a set period.</w:t>
      </w:r>
    </w:p>
    <w:p w14:paraId="33EAD944" w14:textId="77777777" w:rsidR="004C3088" w:rsidRDefault="002556CC">
      <w:pPr>
        <w:pStyle w:val="BodyText"/>
      </w:pPr>
      <w:r>
        <w:t>Table 4 below shows the number of trust deeds advertised and protected by financial year. There were 5,938 trust deeds advertised in 2022-23, a 1.3% increase on the previous year. Of the 5,938 trust deeds, around 94.9% did become protected eventually. Furthermore, there were 5,644 PTDs registered in 2022-23, a 3.3% increase on the previous year. In each financial year since 2015-16, more PTDs have been registered than awards of bankruptcy as seen in Chart 1.</w:t>
      </w:r>
    </w:p>
    <w:p w14:paraId="29011C2D" w14:textId="77777777" w:rsidR="00F92D87" w:rsidRDefault="00F92D87" w:rsidP="00F92D87">
      <w:pPr>
        <w:pStyle w:val="BodyText"/>
      </w:pPr>
    </w:p>
    <w:p w14:paraId="46B878A6" w14:textId="77777777" w:rsidR="00F92D87" w:rsidRDefault="00F92D87" w:rsidP="00F92D87">
      <w:pPr>
        <w:pStyle w:val="BodyText"/>
      </w:pPr>
    </w:p>
    <w:p w14:paraId="4F3BD959" w14:textId="77777777" w:rsidR="00F92D87" w:rsidRDefault="00F92D87" w:rsidP="00F92D87">
      <w:pPr>
        <w:pStyle w:val="BodyText"/>
      </w:pPr>
    </w:p>
    <w:p w14:paraId="539DDDD1" w14:textId="2DF94795" w:rsidR="004C3088" w:rsidRDefault="00F92D87" w:rsidP="00F92D87">
      <w:pPr>
        <w:pStyle w:val="BodyText"/>
      </w:pPr>
      <w:r>
        <w:t>Table 4: Number of advertised and protected trust deeds by financial year</w:t>
      </w:r>
    </w:p>
    <w:tbl>
      <w:tblPr>
        <w:tblW w:w="5000" w:type="pct"/>
        <w:jc w:val="center"/>
        <w:tblLook w:val="04A0" w:firstRow="1" w:lastRow="0" w:firstColumn="1" w:lastColumn="0" w:noHBand="0" w:noVBand="1"/>
      </w:tblPr>
      <w:tblGrid>
        <w:gridCol w:w="4234"/>
        <w:gridCol w:w="831"/>
        <w:gridCol w:w="831"/>
        <w:gridCol w:w="831"/>
        <w:gridCol w:w="831"/>
        <w:gridCol w:w="831"/>
        <w:gridCol w:w="971"/>
      </w:tblGrid>
      <w:tr w:rsidR="004C3088" w:rsidRPr="00F92D87" w14:paraId="14F1BD50" w14:textId="77777777" w:rsidTr="00F92D87">
        <w:trPr>
          <w:cantSplit/>
          <w:trHeight w:val="839"/>
          <w:tblHeader/>
          <w:jc w:val="center"/>
        </w:trPr>
        <w:tc>
          <w:tcPr>
            <w:tcW w:w="2273" w:type="pct"/>
            <w:tcBorders>
              <w:bottom w:val="single" w:sz="8" w:space="0" w:color="BEBEBE"/>
            </w:tcBorders>
            <w:shd w:val="clear" w:color="auto" w:fill="FFFFFF"/>
            <w:tcMar>
              <w:top w:w="0" w:type="dxa"/>
              <w:left w:w="0" w:type="dxa"/>
              <w:bottom w:w="0" w:type="dxa"/>
              <w:right w:w="0" w:type="dxa"/>
            </w:tcMar>
            <w:vAlign w:val="center"/>
          </w:tcPr>
          <w:p w14:paraId="6A538C24"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Financial year of the advertised and protected date</w:t>
            </w:r>
          </w:p>
        </w:tc>
        <w:tc>
          <w:tcPr>
            <w:tcW w:w="455" w:type="pct"/>
            <w:tcBorders>
              <w:bottom w:val="single" w:sz="8" w:space="0" w:color="BEBEBE"/>
            </w:tcBorders>
            <w:shd w:val="clear" w:color="auto" w:fill="FFFFFF"/>
            <w:tcMar>
              <w:top w:w="0" w:type="dxa"/>
              <w:left w:w="0" w:type="dxa"/>
              <w:bottom w:w="0" w:type="dxa"/>
              <w:right w:w="0" w:type="dxa"/>
            </w:tcMar>
            <w:vAlign w:val="center"/>
          </w:tcPr>
          <w:p w14:paraId="22342C8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2018-19</w:t>
            </w:r>
          </w:p>
        </w:tc>
        <w:tc>
          <w:tcPr>
            <w:tcW w:w="455" w:type="pct"/>
            <w:tcBorders>
              <w:bottom w:val="single" w:sz="8" w:space="0" w:color="BEBEBE"/>
            </w:tcBorders>
            <w:shd w:val="clear" w:color="auto" w:fill="FFFFFF"/>
            <w:tcMar>
              <w:top w:w="0" w:type="dxa"/>
              <w:left w:w="0" w:type="dxa"/>
              <w:bottom w:w="0" w:type="dxa"/>
              <w:right w:w="0" w:type="dxa"/>
            </w:tcMar>
            <w:vAlign w:val="center"/>
          </w:tcPr>
          <w:p w14:paraId="469CFCA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2019-20</w:t>
            </w:r>
          </w:p>
        </w:tc>
        <w:tc>
          <w:tcPr>
            <w:tcW w:w="455" w:type="pct"/>
            <w:tcBorders>
              <w:bottom w:val="single" w:sz="8" w:space="0" w:color="BEBEBE"/>
            </w:tcBorders>
            <w:shd w:val="clear" w:color="auto" w:fill="FFFFFF"/>
            <w:tcMar>
              <w:top w:w="0" w:type="dxa"/>
              <w:left w:w="0" w:type="dxa"/>
              <w:bottom w:w="0" w:type="dxa"/>
              <w:right w:w="0" w:type="dxa"/>
            </w:tcMar>
            <w:vAlign w:val="center"/>
          </w:tcPr>
          <w:p w14:paraId="0F9562B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2020-21</w:t>
            </w:r>
          </w:p>
        </w:tc>
        <w:tc>
          <w:tcPr>
            <w:tcW w:w="455" w:type="pct"/>
            <w:tcBorders>
              <w:bottom w:val="single" w:sz="8" w:space="0" w:color="BEBEBE"/>
            </w:tcBorders>
            <w:shd w:val="clear" w:color="auto" w:fill="FFFFFF"/>
            <w:tcMar>
              <w:top w:w="0" w:type="dxa"/>
              <w:left w:w="0" w:type="dxa"/>
              <w:bottom w:w="0" w:type="dxa"/>
              <w:right w:w="0" w:type="dxa"/>
            </w:tcMar>
            <w:vAlign w:val="center"/>
          </w:tcPr>
          <w:p w14:paraId="70F7F9D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2021-22</w:t>
            </w:r>
          </w:p>
        </w:tc>
        <w:tc>
          <w:tcPr>
            <w:tcW w:w="455" w:type="pct"/>
            <w:tcBorders>
              <w:bottom w:val="single" w:sz="8" w:space="0" w:color="BEBEBE"/>
            </w:tcBorders>
            <w:shd w:val="clear" w:color="auto" w:fill="FFFFFF"/>
            <w:tcMar>
              <w:top w:w="0" w:type="dxa"/>
              <w:left w:w="0" w:type="dxa"/>
              <w:bottom w:w="0" w:type="dxa"/>
              <w:right w:w="0" w:type="dxa"/>
            </w:tcMar>
            <w:vAlign w:val="center"/>
          </w:tcPr>
          <w:p w14:paraId="7438894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2022-23</w:t>
            </w:r>
          </w:p>
        </w:tc>
        <w:tc>
          <w:tcPr>
            <w:tcW w:w="455" w:type="pct"/>
            <w:tcBorders>
              <w:bottom w:val="single" w:sz="8" w:space="0" w:color="BEBEBE"/>
            </w:tcBorders>
            <w:shd w:val="clear" w:color="auto" w:fill="FFFFFF"/>
            <w:tcMar>
              <w:top w:w="0" w:type="dxa"/>
              <w:left w:w="0" w:type="dxa"/>
              <w:bottom w:w="0" w:type="dxa"/>
              <w:right w:w="0" w:type="dxa"/>
            </w:tcMar>
            <w:vAlign w:val="center"/>
          </w:tcPr>
          <w:p w14:paraId="37F6DFB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Annual change (%)</w:t>
            </w:r>
          </w:p>
        </w:tc>
      </w:tr>
      <w:tr w:rsidR="004C3088" w:rsidRPr="00F92D87" w14:paraId="7032F04F" w14:textId="77777777" w:rsidTr="00F92D87">
        <w:trPr>
          <w:cantSplit/>
          <w:trHeight w:val="839"/>
          <w:jc w:val="center"/>
        </w:trPr>
        <w:tc>
          <w:tcPr>
            <w:tcW w:w="2273" w:type="pct"/>
            <w:shd w:val="clear" w:color="auto" w:fill="FFFFFF"/>
            <w:tcMar>
              <w:top w:w="0" w:type="dxa"/>
              <w:left w:w="0" w:type="dxa"/>
              <w:bottom w:w="0" w:type="dxa"/>
              <w:right w:w="0" w:type="dxa"/>
            </w:tcMar>
            <w:vAlign w:val="center"/>
          </w:tcPr>
          <w:p w14:paraId="18F85844"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Number of advertised trust deeds</w:t>
            </w:r>
          </w:p>
        </w:tc>
        <w:tc>
          <w:tcPr>
            <w:tcW w:w="455" w:type="pct"/>
            <w:shd w:val="clear" w:color="auto" w:fill="FFFFFF"/>
            <w:tcMar>
              <w:top w:w="0" w:type="dxa"/>
              <w:left w:w="0" w:type="dxa"/>
              <w:bottom w:w="0" w:type="dxa"/>
              <w:right w:w="0" w:type="dxa"/>
            </w:tcMar>
            <w:vAlign w:val="center"/>
          </w:tcPr>
          <w:p w14:paraId="0A5EF70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8,849</w:t>
            </w:r>
          </w:p>
        </w:tc>
        <w:tc>
          <w:tcPr>
            <w:tcW w:w="455" w:type="pct"/>
            <w:shd w:val="clear" w:color="auto" w:fill="FFFFFF"/>
            <w:tcMar>
              <w:top w:w="0" w:type="dxa"/>
              <w:left w:w="0" w:type="dxa"/>
              <w:bottom w:w="0" w:type="dxa"/>
              <w:right w:w="0" w:type="dxa"/>
            </w:tcMar>
            <w:vAlign w:val="center"/>
          </w:tcPr>
          <w:p w14:paraId="7836B41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9,467</w:t>
            </w:r>
          </w:p>
        </w:tc>
        <w:tc>
          <w:tcPr>
            <w:tcW w:w="455" w:type="pct"/>
            <w:shd w:val="clear" w:color="auto" w:fill="FFFFFF"/>
            <w:tcMar>
              <w:top w:w="0" w:type="dxa"/>
              <w:left w:w="0" w:type="dxa"/>
              <w:bottom w:w="0" w:type="dxa"/>
              <w:right w:w="0" w:type="dxa"/>
            </w:tcMar>
            <w:vAlign w:val="center"/>
          </w:tcPr>
          <w:p w14:paraId="65A777D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5,042</w:t>
            </w:r>
          </w:p>
        </w:tc>
        <w:tc>
          <w:tcPr>
            <w:tcW w:w="455" w:type="pct"/>
            <w:shd w:val="clear" w:color="auto" w:fill="FFFFFF"/>
            <w:tcMar>
              <w:top w:w="0" w:type="dxa"/>
              <w:left w:w="0" w:type="dxa"/>
              <w:bottom w:w="0" w:type="dxa"/>
              <w:right w:w="0" w:type="dxa"/>
            </w:tcMar>
            <w:vAlign w:val="center"/>
          </w:tcPr>
          <w:p w14:paraId="64ADA12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5,859</w:t>
            </w:r>
          </w:p>
        </w:tc>
        <w:tc>
          <w:tcPr>
            <w:tcW w:w="455" w:type="pct"/>
            <w:shd w:val="clear" w:color="auto" w:fill="FFFFFF"/>
            <w:tcMar>
              <w:top w:w="0" w:type="dxa"/>
              <w:left w:w="0" w:type="dxa"/>
              <w:bottom w:w="0" w:type="dxa"/>
              <w:right w:w="0" w:type="dxa"/>
            </w:tcMar>
            <w:vAlign w:val="center"/>
          </w:tcPr>
          <w:p w14:paraId="740CA03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5,938</w:t>
            </w:r>
          </w:p>
        </w:tc>
        <w:tc>
          <w:tcPr>
            <w:tcW w:w="455" w:type="pct"/>
            <w:shd w:val="clear" w:color="auto" w:fill="FFFFFF"/>
            <w:tcMar>
              <w:top w:w="0" w:type="dxa"/>
              <w:left w:w="0" w:type="dxa"/>
              <w:bottom w:w="0" w:type="dxa"/>
              <w:right w:w="0" w:type="dxa"/>
            </w:tcMar>
            <w:vAlign w:val="center"/>
          </w:tcPr>
          <w:p w14:paraId="236B8DF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1.3%</w:t>
            </w:r>
          </w:p>
        </w:tc>
      </w:tr>
      <w:tr w:rsidR="004C3088" w:rsidRPr="00F92D87" w14:paraId="1E46F9A5" w14:textId="77777777" w:rsidTr="00F92D87">
        <w:trPr>
          <w:cantSplit/>
          <w:trHeight w:val="839"/>
          <w:jc w:val="center"/>
        </w:trPr>
        <w:tc>
          <w:tcPr>
            <w:tcW w:w="2273" w:type="pct"/>
            <w:shd w:val="clear" w:color="auto" w:fill="FFFFFF"/>
            <w:tcMar>
              <w:top w:w="0" w:type="dxa"/>
              <w:left w:w="0" w:type="dxa"/>
              <w:bottom w:w="0" w:type="dxa"/>
              <w:right w:w="0" w:type="dxa"/>
            </w:tcMar>
            <w:vAlign w:val="center"/>
          </w:tcPr>
          <w:p w14:paraId="6D39F8E3"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Did become protected eventually</w:t>
            </w:r>
          </w:p>
        </w:tc>
        <w:tc>
          <w:tcPr>
            <w:tcW w:w="455" w:type="pct"/>
            <w:shd w:val="clear" w:color="auto" w:fill="FFFFFF"/>
            <w:tcMar>
              <w:top w:w="0" w:type="dxa"/>
              <w:left w:w="0" w:type="dxa"/>
              <w:bottom w:w="0" w:type="dxa"/>
              <w:right w:w="0" w:type="dxa"/>
            </w:tcMar>
            <w:vAlign w:val="center"/>
          </w:tcPr>
          <w:p w14:paraId="640E15C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8,040</w:t>
            </w:r>
          </w:p>
        </w:tc>
        <w:tc>
          <w:tcPr>
            <w:tcW w:w="455" w:type="pct"/>
            <w:shd w:val="clear" w:color="auto" w:fill="FFFFFF"/>
            <w:tcMar>
              <w:top w:w="0" w:type="dxa"/>
              <w:left w:w="0" w:type="dxa"/>
              <w:bottom w:w="0" w:type="dxa"/>
              <w:right w:w="0" w:type="dxa"/>
            </w:tcMar>
            <w:vAlign w:val="center"/>
          </w:tcPr>
          <w:p w14:paraId="0B6629C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8,748</w:t>
            </w:r>
          </w:p>
        </w:tc>
        <w:tc>
          <w:tcPr>
            <w:tcW w:w="455" w:type="pct"/>
            <w:shd w:val="clear" w:color="auto" w:fill="FFFFFF"/>
            <w:tcMar>
              <w:top w:w="0" w:type="dxa"/>
              <w:left w:w="0" w:type="dxa"/>
              <w:bottom w:w="0" w:type="dxa"/>
              <w:right w:w="0" w:type="dxa"/>
            </w:tcMar>
            <w:vAlign w:val="center"/>
          </w:tcPr>
          <w:p w14:paraId="695D201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4,735</w:t>
            </w:r>
          </w:p>
        </w:tc>
        <w:tc>
          <w:tcPr>
            <w:tcW w:w="455" w:type="pct"/>
            <w:shd w:val="clear" w:color="auto" w:fill="FFFFFF"/>
            <w:tcMar>
              <w:top w:w="0" w:type="dxa"/>
              <w:left w:w="0" w:type="dxa"/>
              <w:bottom w:w="0" w:type="dxa"/>
              <w:right w:w="0" w:type="dxa"/>
            </w:tcMar>
            <w:vAlign w:val="center"/>
          </w:tcPr>
          <w:p w14:paraId="34A3FA2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5,518</w:t>
            </w:r>
          </w:p>
        </w:tc>
        <w:tc>
          <w:tcPr>
            <w:tcW w:w="455" w:type="pct"/>
            <w:shd w:val="clear" w:color="auto" w:fill="FFFFFF"/>
            <w:tcMar>
              <w:top w:w="0" w:type="dxa"/>
              <w:left w:w="0" w:type="dxa"/>
              <w:bottom w:w="0" w:type="dxa"/>
              <w:right w:w="0" w:type="dxa"/>
            </w:tcMar>
            <w:vAlign w:val="center"/>
          </w:tcPr>
          <w:p w14:paraId="11C16D9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5,633</w:t>
            </w:r>
          </w:p>
        </w:tc>
        <w:tc>
          <w:tcPr>
            <w:tcW w:w="455" w:type="pct"/>
            <w:shd w:val="clear" w:color="auto" w:fill="FFFFFF"/>
            <w:tcMar>
              <w:top w:w="0" w:type="dxa"/>
              <w:left w:w="0" w:type="dxa"/>
              <w:bottom w:w="0" w:type="dxa"/>
              <w:right w:w="0" w:type="dxa"/>
            </w:tcMar>
            <w:vAlign w:val="center"/>
          </w:tcPr>
          <w:p w14:paraId="4494DF4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2.1%</w:t>
            </w:r>
          </w:p>
        </w:tc>
      </w:tr>
      <w:tr w:rsidR="004C3088" w:rsidRPr="00F92D87" w14:paraId="073CF51E" w14:textId="77777777" w:rsidTr="00F92D87">
        <w:trPr>
          <w:cantSplit/>
          <w:trHeight w:val="839"/>
          <w:jc w:val="center"/>
        </w:trPr>
        <w:tc>
          <w:tcPr>
            <w:tcW w:w="2273" w:type="pct"/>
            <w:shd w:val="clear" w:color="auto" w:fill="FFFFFF"/>
            <w:tcMar>
              <w:top w:w="0" w:type="dxa"/>
              <w:left w:w="0" w:type="dxa"/>
              <w:bottom w:w="0" w:type="dxa"/>
              <w:right w:w="0" w:type="dxa"/>
            </w:tcMar>
            <w:vAlign w:val="center"/>
          </w:tcPr>
          <w:p w14:paraId="23E3E7AA"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Did not become protected</w:t>
            </w:r>
          </w:p>
        </w:tc>
        <w:tc>
          <w:tcPr>
            <w:tcW w:w="455" w:type="pct"/>
            <w:shd w:val="clear" w:color="auto" w:fill="FFFFFF"/>
            <w:tcMar>
              <w:top w:w="0" w:type="dxa"/>
              <w:left w:w="0" w:type="dxa"/>
              <w:bottom w:w="0" w:type="dxa"/>
              <w:right w:w="0" w:type="dxa"/>
            </w:tcMar>
            <w:vAlign w:val="center"/>
          </w:tcPr>
          <w:p w14:paraId="793B2B7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809</w:t>
            </w:r>
          </w:p>
        </w:tc>
        <w:tc>
          <w:tcPr>
            <w:tcW w:w="455" w:type="pct"/>
            <w:shd w:val="clear" w:color="auto" w:fill="FFFFFF"/>
            <w:tcMar>
              <w:top w:w="0" w:type="dxa"/>
              <w:left w:w="0" w:type="dxa"/>
              <w:bottom w:w="0" w:type="dxa"/>
              <w:right w:w="0" w:type="dxa"/>
            </w:tcMar>
            <w:vAlign w:val="center"/>
          </w:tcPr>
          <w:p w14:paraId="6E00463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719</w:t>
            </w:r>
          </w:p>
        </w:tc>
        <w:tc>
          <w:tcPr>
            <w:tcW w:w="455" w:type="pct"/>
            <w:shd w:val="clear" w:color="auto" w:fill="FFFFFF"/>
            <w:tcMar>
              <w:top w:w="0" w:type="dxa"/>
              <w:left w:w="0" w:type="dxa"/>
              <w:bottom w:w="0" w:type="dxa"/>
              <w:right w:w="0" w:type="dxa"/>
            </w:tcMar>
            <w:vAlign w:val="center"/>
          </w:tcPr>
          <w:p w14:paraId="1B932DF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307</w:t>
            </w:r>
          </w:p>
        </w:tc>
        <w:tc>
          <w:tcPr>
            <w:tcW w:w="455" w:type="pct"/>
            <w:shd w:val="clear" w:color="auto" w:fill="FFFFFF"/>
            <w:tcMar>
              <w:top w:w="0" w:type="dxa"/>
              <w:left w:w="0" w:type="dxa"/>
              <w:bottom w:w="0" w:type="dxa"/>
              <w:right w:w="0" w:type="dxa"/>
            </w:tcMar>
            <w:vAlign w:val="center"/>
          </w:tcPr>
          <w:p w14:paraId="7856F8D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341</w:t>
            </w:r>
          </w:p>
        </w:tc>
        <w:tc>
          <w:tcPr>
            <w:tcW w:w="455" w:type="pct"/>
            <w:shd w:val="clear" w:color="auto" w:fill="FFFFFF"/>
            <w:tcMar>
              <w:top w:w="0" w:type="dxa"/>
              <w:left w:w="0" w:type="dxa"/>
              <w:bottom w:w="0" w:type="dxa"/>
              <w:right w:w="0" w:type="dxa"/>
            </w:tcMar>
            <w:vAlign w:val="center"/>
          </w:tcPr>
          <w:p w14:paraId="3B94BB4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305</w:t>
            </w:r>
          </w:p>
        </w:tc>
        <w:tc>
          <w:tcPr>
            <w:tcW w:w="455" w:type="pct"/>
            <w:shd w:val="clear" w:color="auto" w:fill="FFFFFF"/>
            <w:tcMar>
              <w:top w:w="0" w:type="dxa"/>
              <w:left w:w="0" w:type="dxa"/>
              <w:bottom w:w="0" w:type="dxa"/>
              <w:right w:w="0" w:type="dxa"/>
            </w:tcMar>
            <w:vAlign w:val="center"/>
          </w:tcPr>
          <w:p w14:paraId="53E159C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-10.6%</w:t>
            </w:r>
          </w:p>
        </w:tc>
      </w:tr>
      <w:tr w:rsidR="004C3088" w:rsidRPr="00F92D87" w14:paraId="6C6A1F57" w14:textId="77777777" w:rsidTr="00F92D87">
        <w:trPr>
          <w:cantSplit/>
          <w:trHeight w:val="839"/>
          <w:jc w:val="center"/>
        </w:trPr>
        <w:tc>
          <w:tcPr>
            <w:tcW w:w="2273" w:type="pct"/>
            <w:shd w:val="clear" w:color="auto" w:fill="FFFFFF"/>
            <w:tcMar>
              <w:top w:w="0" w:type="dxa"/>
              <w:left w:w="0" w:type="dxa"/>
              <w:bottom w:w="0" w:type="dxa"/>
              <w:right w:w="0" w:type="dxa"/>
            </w:tcMar>
            <w:vAlign w:val="center"/>
          </w:tcPr>
          <w:p w14:paraId="4894359F"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Number of protected trust deeds</w:t>
            </w:r>
          </w:p>
        </w:tc>
        <w:tc>
          <w:tcPr>
            <w:tcW w:w="455" w:type="pct"/>
            <w:shd w:val="clear" w:color="auto" w:fill="FFFFFF"/>
            <w:tcMar>
              <w:top w:w="0" w:type="dxa"/>
              <w:left w:w="0" w:type="dxa"/>
              <w:bottom w:w="0" w:type="dxa"/>
              <w:right w:w="0" w:type="dxa"/>
            </w:tcMar>
            <w:vAlign w:val="center"/>
          </w:tcPr>
          <w:p w14:paraId="78D9F7A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7,915</w:t>
            </w:r>
          </w:p>
        </w:tc>
        <w:tc>
          <w:tcPr>
            <w:tcW w:w="455" w:type="pct"/>
            <w:shd w:val="clear" w:color="auto" w:fill="FFFFFF"/>
            <w:tcMar>
              <w:top w:w="0" w:type="dxa"/>
              <w:left w:w="0" w:type="dxa"/>
              <w:bottom w:w="0" w:type="dxa"/>
              <w:right w:w="0" w:type="dxa"/>
            </w:tcMar>
            <w:vAlign w:val="center"/>
          </w:tcPr>
          <w:p w14:paraId="5CFF2BF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8,743</w:t>
            </w:r>
          </w:p>
        </w:tc>
        <w:tc>
          <w:tcPr>
            <w:tcW w:w="455" w:type="pct"/>
            <w:shd w:val="clear" w:color="auto" w:fill="FFFFFF"/>
            <w:tcMar>
              <w:top w:w="0" w:type="dxa"/>
              <w:left w:w="0" w:type="dxa"/>
              <w:bottom w:w="0" w:type="dxa"/>
              <w:right w:w="0" w:type="dxa"/>
            </w:tcMar>
            <w:vAlign w:val="center"/>
          </w:tcPr>
          <w:p w14:paraId="4446A2A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5,263</w:t>
            </w:r>
          </w:p>
        </w:tc>
        <w:tc>
          <w:tcPr>
            <w:tcW w:w="455" w:type="pct"/>
            <w:shd w:val="clear" w:color="auto" w:fill="FFFFFF"/>
            <w:tcMar>
              <w:top w:w="0" w:type="dxa"/>
              <w:left w:w="0" w:type="dxa"/>
              <w:bottom w:w="0" w:type="dxa"/>
              <w:right w:w="0" w:type="dxa"/>
            </w:tcMar>
            <w:vAlign w:val="center"/>
          </w:tcPr>
          <w:p w14:paraId="64D9FD0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5,464</w:t>
            </w:r>
          </w:p>
        </w:tc>
        <w:tc>
          <w:tcPr>
            <w:tcW w:w="455" w:type="pct"/>
            <w:shd w:val="clear" w:color="auto" w:fill="FFFFFF"/>
            <w:tcMar>
              <w:top w:w="0" w:type="dxa"/>
              <w:left w:w="0" w:type="dxa"/>
              <w:bottom w:w="0" w:type="dxa"/>
              <w:right w:w="0" w:type="dxa"/>
            </w:tcMar>
            <w:vAlign w:val="center"/>
          </w:tcPr>
          <w:p w14:paraId="19CC45F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5,644</w:t>
            </w:r>
          </w:p>
        </w:tc>
        <w:tc>
          <w:tcPr>
            <w:tcW w:w="455" w:type="pct"/>
            <w:shd w:val="clear" w:color="auto" w:fill="FFFFFF"/>
            <w:tcMar>
              <w:top w:w="0" w:type="dxa"/>
              <w:left w:w="0" w:type="dxa"/>
              <w:bottom w:w="0" w:type="dxa"/>
              <w:right w:w="0" w:type="dxa"/>
            </w:tcMar>
            <w:vAlign w:val="center"/>
          </w:tcPr>
          <w:p w14:paraId="4CA4E17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3.3%</w:t>
            </w:r>
          </w:p>
        </w:tc>
      </w:tr>
      <w:tr w:rsidR="004C3088" w:rsidRPr="00F92D87" w14:paraId="68F3211E" w14:textId="77777777" w:rsidTr="00F92D87">
        <w:trPr>
          <w:cantSplit/>
          <w:trHeight w:val="839"/>
          <w:jc w:val="center"/>
        </w:trPr>
        <w:tc>
          <w:tcPr>
            <w:tcW w:w="5000" w:type="pct"/>
            <w:gridSpan w:val="7"/>
            <w:tcBorders>
              <w:top w:val="single" w:sz="8" w:space="0" w:color="BEBEBE"/>
            </w:tcBorders>
            <w:shd w:val="clear" w:color="auto" w:fill="FFFFFF"/>
            <w:tcMar>
              <w:top w:w="0" w:type="dxa"/>
              <w:left w:w="0" w:type="dxa"/>
              <w:bottom w:w="0" w:type="dxa"/>
              <w:right w:w="0" w:type="dxa"/>
            </w:tcMar>
            <w:vAlign w:val="center"/>
          </w:tcPr>
          <w:p w14:paraId="3E4144A4" w14:textId="77777777" w:rsidR="004C3088" w:rsidRPr="00F92D87" w:rsidRDefault="002556CC">
            <w:pPr>
              <w:spacing w:after="0"/>
              <w:rPr>
                <w:rFonts w:ascii="Arial" w:hAnsi="Arial" w:cs="Arial"/>
                <w:sz w:val="22"/>
                <w:szCs w:val="22"/>
              </w:rPr>
            </w:pPr>
            <w:r w:rsidRPr="00F92D87">
              <w:rPr>
                <w:rFonts w:ascii="Arial" w:eastAsia="Arial" w:hAnsi="Arial" w:cs="Arial"/>
                <w:color w:val="000000"/>
                <w:sz w:val="22"/>
                <w:szCs w:val="22"/>
              </w:rPr>
              <w:t>Source: Accountant in Bankruptcy</w:t>
            </w:r>
          </w:p>
        </w:tc>
      </w:tr>
    </w:tbl>
    <w:p w14:paraId="524A580F" w14:textId="77777777" w:rsidR="004C3088" w:rsidRDefault="004C3088">
      <w:pPr>
        <w:pStyle w:val="BodyText"/>
      </w:pPr>
    </w:p>
    <w:p w14:paraId="09212154" w14:textId="1386E88A" w:rsidR="004C3088" w:rsidRDefault="002556CC">
      <w:pPr>
        <w:pStyle w:val="BodyText"/>
      </w:pPr>
      <w:r>
        <w:lastRenderedPageBreak/>
        <w:t xml:space="preserve">Chart 4 below shows the increasing trend of PTDs since 2015-16 to 2019-20, followed by a decrease in </w:t>
      </w:r>
      <w:r w:rsidR="00BC41A5">
        <w:t>2020-21</w:t>
      </w:r>
      <w:r>
        <w:t>.</w:t>
      </w:r>
    </w:p>
    <w:p w14:paraId="570839E1" w14:textId="77777777" w:rsidR="004C3088" w:rsidRDefault="004C3088">
      <w:pPr>
        <w:pStyle w:val="BodyText"/>
      </w:pPr>
    </w:p>
    <w:p w14:paraId="71A14693" w14:textId="77777777" w:rsidR="004C3088" w:rsidRDefault="002556CC">
      <w:pPr>
        <w:pStyle w:val="CaptionedFigure"/>
      </w:pPr>
      <w:r>
        <w:rPr>
          <w:noProof/>
        </w:rPr>
        <w:drawing>
          <wp:inline distT="0" distB="0" distL="0" distR="0" wp14:anchorId="3DAD3499" wp14:editId="38C7AB1F">
            <wp:extent cx="5943600" cy="4242598"/>
            <wp:effectExtent l="0" t="0" r="0" b="0"/>
            <wp:docPr id="11" name="Picture" descr="Chart 4 shows the number of Protected Trust Deeds (PTDs) from 2015-16 to 2022-23. This chart shows that despite a drop in volumes since the COVID-19 pandemic, there are still more PTDs than bankruptcies."/>
            <wp:cNvGraphicFramePr/>
            <a:graphic xmlns:a="http://schemas.openxmlformats.org/drawingml/2006/main">
              <a:graphicData uri="http://schemas.openxmlformats.org/drawingml/2006/picture">
                <pic:pic xmlns:pic="http://schemas.openxmlformats.org/drawingml/2006/picture">
                  <pic:nvPicPr>
                    <pic:cNvPr id="12" name="Picture" descr="_pub_chart_4_plot.png"/>
                    <pic:cNvPicPr>
                      <a:picLocks noChangeAspect="1" noChangeArrowheads="1"/>
                    </pic:cNvPicPr>
                  </pic:nvPicPr>
                  <pic:blipFill>
                    <a:blip r:embed="rId23"/>
                    <a:stretch>
                      <a:fillRect/>
                    </a:stretch>
                  </pic:blipFill>
                  <pic:spPr bwMode="auto">
                    <a:xfrm>
                      <a:off x="0" y="0"/>
                      <a:ext cx="5943600" cy="4242598"/>
                    </a:xfrm>
                    <a:prstGeom prst="rect">
                      <a:avLst/>
                    </a:prstGeom>
                    <a:noFill/>
                    <a:ln w="9525">
                      <a:noFill/>
                      <a:headEnd/>
                      <a:tailEnd/>
                    </a:ln>
                  </pic:spPr>
                </pic:pic>
              </a:graphicData>
            </a:graphic>
          </wp:inline>
        </w:drawing>
      </w:r>
    </w:p>
    <w:p w14:paraId="2AFC3B3A" w14:textId="77777777" w:rsidR="004C3088" w:rsidRDefault="004C3088">
      <w:pPr>
        <w:pStyle w:val="BodyText"/>
      </w:pPr>
    </w:p>
    <w:p w14:paraId="2978FC3C" w14:textId="77777777" w:rsidR="004C3088" w:rsidRDefault="002556CC">
      <w:pPr>
        <w:pStyle w:val="Heading3"/>
      </w:pPr>
      <w:bookmarkStart w:id="19" w:name="X8a837b95d985a065fa1d03962506a0ff2fdb537"/>
      <w:r>
        <w:t>PTDs registered by local authority in 2022-23</w:t>
      </w:r>
      <w:bookmarkEnd w:id="19"/>
    </w:p>
    <w:p w14:paraId="21714D4F" w14:textId="77777777" w:rsidR="004C3088" w:rsidRDefault="002556CC">
      <w:pPr>
        <w:pStyle w:val="FirstParagraph"/>
      </w:pPr>
      <w:r>
        <w:t>The rate of PTDs per 10,000 adults in Scotland was 12 in 2022-23, unchanged from the rate of 12 in the previous financial year.</w:t>
      </w:r>
    </w:p>
    <w:p w14:paraId="12AF9C6E" w14:textId="77777777" w:rsidR="004C3088" w:rsidRDefault="002556CC">
      <w:pPr>
        <w:pStyle w:val="BodyText"/>
      </w:pPr>
      <w:r>
        <w:t>Local Authority Chart 2 and the associated heatmap that depict PTD rates show that North Lanarkshire was the local authority with the highest rate of PTDs per 10,000 adults, followed by Clackmannanshire and Midlothian.</w:t>
      </w:r>
    </w:p>
    <w:p w14:paraId="7610DB6F" w14:textId="77777777" w:rsidR="004C3088" w:rsidRDefault="002556CC">
      <w:pPr>
        <w:pStyle w:val="BodyText"/>
      </w:pPr>
      <w:r>
        <w:t>Na h-Eileanan Siar, Orkney Islands and East Renfrewshire were the local authorities with the lowest rate of PTDs per 10,000 adults.</w:t>
      </w:r>
    </w:p>
    <w:p w14:paraId="7FBF295B" w14:textId="77777777" w:rsidR="004C3088" w:rsidRDefault="002556CC">
      <w:pPr>
        <w:pStyle w:val="BodyText"/>
      </w:pPr>
      <w:r>
        <w:lastRenderedPageBreak/>
        <w:t>PTDs (and for other statutory debt solutions) by local authority and for previous years are available in the accompanying tables.</w:t>
      </w:r>
    </w:p>
    <w:p w14:paraId="63A287F6" w14:textId="77777777" w:rsidR="004C3088" w:rsidRDefault="004C3088">
      <w:pPr>
        <w:pStyle w:val="BodyText"/>
      </w:pPr>
    </w:p>
    <w:p w14:paraId="6D46C49A" w14:textId="77777777" w:rsidR="004C3088" w:rsidRDefault="002556CC">
      <w:pPr>
        <w:pStyle w:val="CaptionedFigure"/>
      </w:pPr>
      <w:r>
        <w:rPr>
          <w:noProof/>
        </w:rPr>
        <w:drawing>
          <wp:inline distT="0" distB="0" distL="0" distR="0" wp14:anchorId="5EFCA06C" wp14:editId="1CA3391C">
            <wp:extent cx="5943600" cy="4242598"/>
            <wp:effectExtent l="0" t="0" r="0" b="0"/>
            <wp:docPr id="13" name="Picture" descr="Local Authority Chart 2 shows the top and bottom three rates of PTDs per 10,000 adults in 2022-23. This chart shows that North Lanarkshire has the highest rate per 10,000 adults."/>
            <wp:cNvGraphicFramePr/>
            <a:graphic xmlns:a="http://schemas.openxmlformats.org/drawingml/2006/main">
              <a:graphicData uri="http://schemas.openxmlformats.org/drawingml/2006/picture">
                <pic:pic xmlns:pic="http://schemas.openxmlformats.org/drawingml/2006/picture">
                  <pic:nvPicPr>
                    <pic:cNvPr id="14" name="Picture" descr="_pub_chart_la_2_plot.png"/>
                    <pic:cNvPicPr>
                      <a:picLocks noChangeAspect="1" noChangeArrowheads="1"/>
                    </pic:cNvPicPr>
                  </pic:nvPicPr>
                  <pic:blipFill>
                    <a:blip r:embed="rId24"/>
                    <a:stretch>
                      <a:fillRect/>
                    </a:stretch>
                  </pic:blipFill>
                  <pic:spPr bwMode="auto">
                    <a:xfrm>
                      <a:off x="0" y="0"/>
                      <a:ext cx="5943600" cy="4242598"/>
                    </a:xfrm>
                    <a:prstGeom prst="rect">
                      <a:avLst/>
                    </a:prstGeom>
                    <a:noFill/>
                    <a:ln w="9525">
                      <a:noFill/>
                      <a:headEnd/>
                      <a:tailEnd/>
                    </a:ln>
                  </pic:spPr>
                </pic:pic>
              </a:graphicData>
            </a:graphic>
          </wp:inline>
        </w:drawing>
      </w:r>
    </w:p>
    <w:p w14:paraId="171C6624" w14:textId="77777777" w:rsidR="004C3088" w:rsidRDefault="004C3088">
      <w:pPr>
        <w:pStyle w:val="BodyText"/>
      </w:pPr>
    </w:p>
    <w:p w14:paraId="378734DE" w14:textId="77777777" w:rsidR="004C3088" w:rsidRDefault="002556CC">
      <w:pPr>
        <w:pStyle w:val="CaptionedFigure"/>
      </w:pPr>
      <w:r>
        <w:rPr>
          <w:noProof/>
        </w:rPr>
        <w:lastRenderedPageBreak/>
        <w:drawing>
          <wp:inline distT="0" distB="0" distL="0" distR="0" wp14:anchorId="3CD2B3E6" wp14:editId="0510498A">
            <wp:extent cx="5504749" cy="8171494"/>
            <wp:effectExtent l="0" t="0" r="0" b="0"/>
            <wp:docPr id="15" name="Picture" descr="Heat Map 2 shows the PTD rates in each local authority in 2022-23 by grouping intervals of 5. This heat map shows that North Lanarkshire is in one of the highest groupings."/>
            <wp:cNvGraphicFramePr/>
            <a:graphic xmlns:a="http://schemas.openxmlformats.org/drawingml/2006/main">
              <a:graphicData uri="http://schemas.openxmlformats.org/drawingml/2006/picture">
                <pic:pic xmlns:pic="http://schemas.openxmlformats.org/drawingml/2006/picture">
                  <pic:nvPicPr>
                    <pic:cNvPr id="16" name="Picture" descr="_PTD%20by%20LA%202022-23%20-%201.png"/>
                    <pic:cNvPicPr>
                      <a:picLocks noChangeAspect="1" noChangeArrowheads="1"/>
                    </pic:cNvPicPr>
                  </pic:nvPicPr>
                  <pic:blipFill>
                    <a:blip r:embed="rId25"/>
                    <a:stretch>
                      <a:fillRect/>
                    </a:stretch>
                  </pic:blipFill>
                  <pic:spPr bwMode="auto">
                    <a:xfrm>
                      <a:off x="0" y="0"/>
                      <a:ext cx="5504749" cy="8171494"/>
                    </a:xfrm>
                    <a:prstGeom prst="rect">
                      <a:avLst/>
                    </a:prstGeom>
                    <a:noFill/>
                    <a:ln w="9525">
                      <a:noFill/>
                      <a:headEnd/>
                      <a:tailEnd/>
                    </a:ln>
                  </pic:spPr>
                </pic:pic>
              </a:graphicData>
            </a:graphic>
          </wp:inline>
        </w:drawing>
      </w:r>
    </w:p>
    <w:p w14:paraId="66E9C31A" w14:textId="77777777" w:rsidR="004C3088" w:rsidRDefault="002556CC">
      <w:pPr>
        <w:pStyle w:val="Heading2"/>
      </w:pPr>
      <w:bookmarkStart w:id="20" w:name="ptds-concluded"/>
      <w:bookmarkStart w:id="21" w:name="_Toc142064471"/>
      <w:proofErr w:type="spellStart"/>
      <w:r>
        <w:lastRenderedPageBreak/>
        <w:t>PTDs</w:t>
      </w:r>
      <w:proofErr w:type="spellEnd"/>
      <w:r>
        <w:t xml:space="preserve"> concluded</w:t>
      </w:r>
      <w:bookmarkEnd w:id="20"/>
      <w:bookmarkEnd w:id="21"/>
    </w:p>
    <w:p w14:paraId="30EE9A1B" w14:textId="77777777" w:rsidR="004C3088" w:rsidRDefault="002556CC">
      <w:pPr>
        <w:pStyle w:val="FirstParagraph"/>
      </w:pPr>
      <w:r>
        <w:t>When the administration of a PTD is complete, the trustee must apply to creditors to be discharged.</w:t>
      </w:r>
    </w:p>
    <w:p w14:paraId="4C9AD998" w14:textId="587EDC3F" w:rsidR="004C3088" w:rsidRDefault="002556CC">
      <w:pPr>
        <w:pStyle w:val="BodyText"/>
      </w:pPr>
      <w:r>
        <w:t xml:space="preserve">In 2022-23, as Table 5 shows, 7,079 PTDs were concluded compared with 6,181 concluded in 2021-22. There were 5,421 cases (excluding all cases where only secured or preferred creditors were repaid) wound up and the division of funds following a trustee’s discharge during 2022-23. Of the 5,421 cases where ordinary creditor dividends are paid, 73.9% of cases paid at less than 25 pence in the pound, which is less than 77.6% of cases in 2021-22. </w:t>
      </w:r>
      <w:r w:rsidR="00BC41A5">
        <w:t>2.5</w:t>
      </w:r>
      <w:r>
        <w:t xml:space="preserve">% of cases paid at 100 pence in the pound plus interest, which is </w:t>
      </w:r>
      <w:r w:rsidR="00BC41A5">
        <w:t>more</w:t>
      </w:r>
      <w:r>
        <w:t xml:space="preserve"> than </w:t>
      </w:r>
      <w:r w:rsidR="00BC41A5">
        <w:t>2.0</w:t>
      </w:r>
      <w:r>
        <w:t>% in 2021-22.</w:t>
      </w:r>
    </w:p>
    <w:p w14:paraId="2B8C9C07" w14:textId="77777777" w:rsidR="00F92D87" w:rsidRDefault="00F92D87">
      <w:pPr>
        <w:rPr>
          <w:rFonts w:ascii="Arial" w:hAnsi="Arial"/>
        </w:rPr>
      </w:pPr>
      <w:r>
        <w:br w:type="page"/>
      </w:r>
    </w:p>
    <w:p w14:paraId="6B9A899D" w14:textId="5C4DB103" w:rsidR="004C3088" w:rsidRDefault="00F92D87">
      <w:pPr>
        <w:pStyle w:val="BodyText"/>
      </w:pPr>
      <w:r w:rsidRPr="00F92D87">
        <w:lastRenderedPageBreak/>
        <w:t>Table 5: Balance of protected trust deeds by financial year and whether a dividend was payable or not</w:t>
      </w:r>
    </w:p>
    <w:tbl>
      <w:tblPr>
        <w:tblW w:w="5000" w:type="pct"/>
        <w:jc w:val="center"/>
        <w:tblLook w:val="04A0" w:firstRow="1" w:lastRow="0" w:firstColumn="1" w:lastColumn="0" w:noHBand="0" w:noVBand="1"/>
      </w:tblPr>
      <w:tblGrid>
        <w:gridCol w:w="4024"/>
        <w:gridCol w:w="873"/>
        <w:gridCol w:w="873"/>
        <w:gridCol w:w="873"/>
        <w:gridCol w:w="873"/>
        <w:gridCol w:w="873"/>
        <w:gridCol w:w="971"/>
      </w:tblGrid>
      <w:tr w:rsidR="004C3088" w14:paraId="20D1D1AA" w14:textId="77777777" w:rsidTr="00F92D87">
        <w:trPr>
          <w:cantSplit/>
          <w:trHeight w:val="839"/>
          <w:tblHeader/>
          <w:jc w:val="center"/>
        </w:trPr>
        <w:tc>
          <w:tcPr>
            <w:tcW w:w="2273" w:type="pct"/>
            <w:tcBorders>
              <w:bottom w:val="single" w:sz="8" w:space="0" w:color="BEBEBE"/>
            </w:tcBorders>
            <w:shd w:val="clear" w:color="auto" w:fill="FFFFFF"/>
            <w:tcMar>
              <w:top w:w="0" w:type="dxa"/>
              <w:left w:w="0" w:type="dxa"/>
              <w:bottom w:w="0" w:type="dxa"/>
              <w:right w:w="0" w:type="dxa"/>
            </w:tcMar>
            <w:vAlign w:val="center"/>
          </w:tcPr>
          <w:p w14:paraId="229E2D5E"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Financial year</w:t>
            </w:r>
          </w:p>
        </w:tc>
        <w:tc>
          <w:tcPr>
            <w:tcW w:w="455" w:type="pct"/>
            <w:tcBorders>
              <w:bottom w:val="single" w:sz="8" w:space="0" w:color="BEBEBE"/>
            </w:tcBorders>
            <w:shd w:val="clear" w:color="auto" w:fill="FFFFFF"/>
            <w:tcMar>
              <w:top w:w="0" w:type="dxa"/>
              <w:left w:w="0" w:type="dxa"/>
              <w:bottom w:w="0" w:type="dxa"/>
              <w:right w:w="0" w:type="dxa"/>
            </w:tcMar>
            <w:vAlign w:val="center"/>
          </w:tcPr>
          <w:p w14:paraId="293F473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2018-19</w:t>
            </w:r>
          </w:p>
        </w:tc>
        <w:tc>
          <w:tcPr>
            <w:tcW w:w="455" w:type="pct"/>
            <w:tcBorders>
              <w:bottom w:val="single" w:sz="8" w:space="0" w:color="BEBEBE"/>
            </w:tcBorders>
            <w:shd w:val="clear" w:color="auto" w:fill="FFFFFF"/>
            <w:tcMar>
              <w:top w:w="0" w:type="dxa"/>
              <w:left w:w="0" w:type="dxa"/>
              <w:bottom w:w="0" w:type="dxa"/>
              <w:right w:w="0" w:type="dxa"/>
            </w:tcMar>
            <w:vAlign w:val="center"/>
          </w:tcPr>
          <w:p w14:paraId="7B9AE6A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2019-20</w:t>
            </w:r>
          </w:p>
        </w:tc>
        <w:tc>
          <w:tcPr>
            <w:tcW w:w="455" w:type="pct"/>
            <w:tcBorders>
              <w:bottom w:val="single" w:sz="8" w:space="0" w:color="BEBEBE"/>
            </w:tcBorders>
            <w:shd w:val="clear" w:color="auto" w:fill="FFFFFF"/>
            <w:tcMar>
              <w:top w:w="0" w:type="dxa"/>
              <w:left w:w="0" w:type="dxa"/>
              <w:bottom w:w="0" w:type="dxa"/>
              <w:right w:w="0" w:type="dxa"/>
            </w:tcMar>
            <w:vAlign w:val="center"/>
          </w:tcPr>
          <w:p w14:paraId="0090B72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2020-21</w:t>
            </w:r>
          </w:p>
        </w:tc>
        <w:tc>
          <w:tcPr>
            <w:tcW w:w="455" w:type="pct"/>
            <w:tcBorders>
              <w:bottom w:val="single" w:sz="8" w:space="0" w:color="BEBEBE"/>
            </w:tcBorders>
            <w:shd w:val="clear" w:color="auto" w:fill="FFFFFF"/>
            <w:tcMar>
              <w:top w:w="0" w:type="dxa"/>
              <w:left w:w="0" w:type="dxa"/>
              <w:bottom w:w="0" w:type="dxa"/>
              <w:right w:w="0" w:type="dxa"/>
            </w:tcMar>
            <w:vAlign w:val="center"/>
          </w:tcPr>
          <w:p w14:paraId="4ACECBC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2021-22</w:t>
            </w:r>
          </w:p>
        </w:tc>
        <w:tc>
          <w:tcPr>
            <w:tcW w:w="455" w:type="pct"/>
            <w:tcBorders>
              <w:bottom w:val="single" w:sz="8" w:space="0" w:color="BEBEBE"/>
            </w:tcBorders>
            <w:shd w:val="clear" w:color="auto" w:fill="FFFFFF"/>
            <w:tcMar>
              <w:top w:w="0" w:type="dxa"/>
              <w:left w:w="0" w:type="dxa"/>
              <w:bottom w:w="0" w:type="dxa"/>
              <w:right w:w="0" w:type="dxa"/>
            </w:tcMar>
            <w:vAlign w:val="center"/>
          </w:tcPr>
          <w:p w14:paraId="7A6B5F4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2022-23</w:t>
            </w:r>
          </w:p>
        </w:tc>
        <w:tc>
          <w:tcPr>
            <w:tcW w:w="455" w:type="pct"/>
            <w:tcBorders>
              <w:bottom w:val="single" w:sz="8" w:space="0" w:color="BEBEBE"/>
            </w:tcBorders>
            <w:shd w:val="clear" w:color="auto" w:fill="FFFFFF"/>
            <w:tcMar>
              <w:top w:w="0" w:type="dxa"/>
              <w:left w:w="0" w:type="dxa"/>
              <w:bottom w:w="0" w:type="dxa"/>
              <w:right w:w="0" w:type="dxa"/>
            </w:tcMar>
            <w:vAlign w:val="center"/>
          </w:tcPr>
          <w:p w14:paraId="043282D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Annual change (%)</w:t>
            </w:r>
          </w:p>
        </w:tc>
      </w:tr>
      <w:tr w:rsidR="004C3088" w14:paraId="43D69558" w14:textId="77777777" w:rsidTr="00F92D87">
        <w:trPr>
          <w:cantSplit/>
          <w:trHeight w:val="670"/>
          <w:jc w:val="center"/>
        </w:trPr>
        <w:tc>
          <w:tcPr>
            <w:tcW w:w="2273" w:type="pct"/>
            <w:shd w:val="clear" w:color="auto" w:fill="FFFFFF"/>
            <w:tcMar>
              <w:top w:w="0" w:type="dxa"/>
              <w:left w:w="0" w:type="dxa"/>
              <w:bottom w:w="0" w:type="dxa"/>
              <w:right w:w="0" w:type="dxa"/>
            </w:tcMar>
            <w:vAlign w:val="center"/>
          </w:tcPr>
          <w:p w14:paraId="2C6527A6"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Live cases at the start of the financial year</w:t>
            </w:r>
          </w:p>
        </w:tc>
        <w:tc>
          <w:tcPr>
            <w:tcW w:w="455" w:type="pct"/>
            <w:shd w:val="clear" w:color="auto" w:fill="FFFFFF"/>
            <w:tcMar>
              <w:top w:w="0" w:type="dxa"/>
              <w:left w:w="0" w:type="dxa"/>
              <w:bottom w:w="0" w:type="dxa"/>
              <w:right w:w="0" w:type="dxa"/>
            </w:tcMar>
            <w:vAlign w:val="center"/>
          </w:tcPr>
          <w:p w14:paraId="3FAECA5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25,964</w:t>
            </w:r>
          </w:p>
        </w:tc>
        <w:tc>
          <w:tcPr>
            <w:tcW w:w="455" w:type="pct"/>
            <w:shd w:val="clear" w:color="auto" w:fill="FFFFFF"/>
            <w:tcMar>
              <w:top w:w="0" w:type="dxa"/>
              <w:left w:w="0" w:type="dxa"/>
              <w:bottom w:w="0" w:type="dxa"/>
              <w:right w:w="0" w:type="dxa"/>
            </w:tcMar>
            <w:vAlign w:val="center"/>
          </w:tcPr>
          <w:p w14:paraId="2F947C6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26,030</w:t>
            </w:r>
          </w:p>
        </w:tc>
        <w:tc>
          <w:tcPr>
            <w:tcW w:w="455" w:type="pct"/>
            <w:shd w:val="clear" w:color="auto" w:fill="FFFFFF"/>
            <w:tcMar>
              <w:top w:w="0" w:type="dxa"/>
              <w:left w:w="0" w:type="dxa"/>
              <w:bottom w:w="0" w:type="dxa"/>
              <w:right w:w="0" w:type="dxa"/>
            </w:tcMar>
            <w:vAlign w:val="center"/>
          </w:tcPr>
          <w:p w14:paraId="6E75B31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30,029</w:t>
            </w:r>
          </w:p>
        </w:tc>
        <w:tc>
          <w:tcPr>
            <w:tcW w:w="455" w:type="pct"/>
            <w:shd w:val="clear" w:color="auto" w:fill="FFFFFF"/>
            <w:tcMar>
              <w:top w:w="0" w:type="dxa"/>
              <w:left w:w="0" w:type="dxa"/>
              <w:bottom w:w="0" w:type="dxa"/>
              <w:right w:w="0" w:type="dxa"/>
            </w:tcMar>
            <w:vAlign w:val="center"/>
          </w:tcPr>
          <w:p w14:paraId="346374B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32,773</w:t>
            </w:r>
          </w:p>
        </w:tc>
        <w:tc>
          <w:tcPr>
            <w:tcW w:w="455" w:type="pct"/>
            <w:shd w:val="clear" w:color="auto" w:fill="FFFFFF"/>
            <w:tcMar>
              <w:top w:w="0" w:type="dxa"/>
              <w:left w:w="0" w:type="dxa"/>
              <w:bottom w:w="0" w:type="dxa"/>
              <w:right w:w="0" w:type="dxa"/>
            </w:tcMar>
            <w:vAlign w:val="center"/>
          </w:tcPr>
          <w:p w14:paraId="668216F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32,056</w:t>
            </w:r>
          </w:p>
        </w:tc>
        <w:tc>
          <w:tcPr>
            <w:tcW w:w="455" w:type="pct"/>
            <w:shd w:val="clear" w:color="auto" w:fill="FFFFFF"/>
            <w:tcMar>
              <w:top w:w="0" w:type="dxa"/>
              <w:left w:w="0" w:type="dxa"/>
              <w:bottom w:w="0" w:type="dxa"/>
              <w:right w:w="0" w:type="dxa"/>
            </w:tcMar>
            <w:vAlign w:val="center"/>
          </w:tcPr>
          <w:p w14:paraId="27B7737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-2.2%</w:t>
            </w:r>
          </w:p>
        </w:tc>
      </w:tr>
      <w:tr w:rsidR="004C3088" w14:paraId="4FC11AD2" w14:textId="77777777" w:rsidTr="00F92D87">
        <w:trPr>
          <w:cantSplit/>
          <w:trHeight w:val="714"/>
          <w:jc w:val="center"/>
        </w:trPr>
        <w:tc>
          <w:tcPr>
            <w:tcW w:w="2273" w:type="pct"/>
            <w:shd w:val="clear" w:color="auto" w:fill="FFFFFF"/>
            <w:tcMar>
              <w:top w:w="0" w:type="dxa"/>
              <w:left w:w="0" w:type="dxa"/>
              <w:bottom w:w="0" w:type="dxa"/>
              <w:right w:w="0" w:type="dxa"/>
            </w:tcMar>
            <w:vAlign w:val="center"/>
          </w:tcPr>
          <w:p w14:paraId="1A2C3261"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New protected trust deeds registered</w:t>
            </w:r>
          </w:p>
        </w:tc>
        <w:tc>
          <w:tcPr>
            <w:tcW w:w="455" w:type="pct"/>
            <w:shd w:val="clear" w:color="auto" w:fill="FFFFFF"/>
            <w:tcMar>
              <w:top w:w="0" w:type="dxa"/>
              <w:left w:w="0" w:type="dxa"/>
              <w:bottom w:w="0" w:type="dxa"/>
              <w:right w:w="0" w:type="dxa"/>
            </w:tcMar>
            <w:vAlign w:val="center"/>
          </w:tcPr>
          <w:p w14:paraId="2C956BD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7,915</w:t>
            </w:r>
          </w:p>
        </w:tc>
        <w:tc>
          <w:tcPr>
            <w:tcW w:w="455" w:type="pct"/>
            <w:shd w:val="clear" w:color="auto" w:fill="FFFFFF"/>
            <w:tcMar>
              <w:top w:w="0" w:type="dxa"/>
              <w:left w:w="0" w:type="dxa"/>
              <w:bottom w:w="0" w:type="dxa"/>
              <w:right w:w="0" w:type="dxa"/>
            </w:tcMar>
            <w:vAlign w:val="center"/>
          </w:tcPr>
          <w:p w14:paraId="7B55C35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8,743</w:t>
            </w:r>
          </w:p>
        </w:tc>
        <w:tc>
          <w:tcPr>
            <w:tcW w:w="455" w:type="pct"/>
            <w:shd w:val="clear" w:color="auto" w:fill="FFFFFF"/>
            <w:tcMar>
              <w:top w:w="0" w:type="dxa"/>
              <w:left w:w="0" w:type="dxa"/>
              <w:bottom w:w="0" w:type="dxa"/>
              <w:right w:w="0" w:type="dxa"/>
            </w:tcMar>
            <w:vAlign w:val="center"/>
          </w:tcPr>
          <w:p w14:paraId="24346E2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5,263</w:t>
            </w:r>
          </w:p>
        </w:tc>
        <w:tc>
          <w:tcPr>
            <w:tcW w:w="455" w:type="pct"/>
            <w:shd w:val="clear" w:color="auto" w:fill="FFFFFF"/>
            <w:tcMar>
              <w:top w:w="0" w:type="dxa"/>
              <w:left w:w="0" w:type="dxa"/>
              <w:bottom w:w="0" w:type="dxa"/>
              <w:right w:w="0" w:type="dxa"/>
            </w:tcMar>
            <w:vAlign w:val="center"/>
          </w:tcPr>
          <w:p w14:paraId="0A71830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5,464</w:t>
            </w:r>
          </w:p>
        </w:tc>
        <w:tc>
          <w:tcPr>
            <w:tcW w:w="455" w:type="pct"/>
            <w:shd w:val="clear" w:color="auto" w:fill="FFFFFF"/>
            <w:tcMar>
              <w:top w:w="0" w:type="dxa"/>
              <w:left w:w="0" w:type="dxa"/>
              <w:bottom w:w="0" w:type="dxa"/>
              <w:right w:w="0" w:type="dxa"/>
            </w:tcMar>
            <w:vAlign w:val="center"/>
          </w:tcPr>
          <w:p w14:paraId="3FBCE01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5,644</w:t>
            </w:r>
          </w:p>
        </w:tc>
        <w:tc>
          <w:tcPr>
            <w:tcW w:w="455" w:type="pct"/>
            <w:shd w:val="clear" w:color="auto" w:fill="FFFFFF"/>
            <w:tcMar>
              <w:top w:w="0" w:type="dxa"/>
              <w:left w:w="0" w:type="dxa"/>
              <w:bottom w:w="0" w:type="dxa"/>
              <w:right w:w="0" w:type="dxa"/>
            </w:tcMar>
            <w:vAlign w:val="center"/>
          </w:tcPr>
          <w:p w14:paraId="4BEC9FF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3.3%</w:t>
            </w:r>
          </w:p>
        </w:tc>
      </w:tr>
      <w:tr w:rsidR="004C3088" w14:paraId="05960D04" w14:textId="77777777" w:rsidTr="00F92D87">
        <w:trPr>
          <w:cantSplit/>
          <w:trHeight w:val="697"/>
          <w:jc w:val="center"/>
        </w:trPr>
        <w:tc>
          <w:tcPr>
            <w:tcW w:w="2273" w:type="pct"/>
            <w:shd w:val="clear" w:color="auto" w:fill="FFFFFF"/>
            <w:tcMar>
              <w:top w:w="0" w:type="dxa"/>
              <w:left w:w="0" w:type="dxa"/>
              <w:bottom w:w="0" w:type="dxa"/>
              <w:right w:w="0" w:type="dxa"/>
            </w:tcMar>
            <w:vAlign w:val="center"/>
          </w:tcPr>
          <w:p w14:paraId="3E2ED98F"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New protected trust deeds concluded</w:t>
            </w:r>
          </w:p>
        </w:tc>
        <w:tc>
          <w:tcPr>
            <w:tcW w:w="455" w:type="pct"/>
            <w:shd w:val="clear" w:color="auto" w:fill="FFFFFF"/>
            <w:tcMar>
              <w:top w:w="0" w:type="dxa"/>
              <w:left w:w="0" w:type="dxa"/>
              <w:bottom w:w="0" w:type="dxa"/>
              <w:right w:w="0" w:type="dxa"/>
            </w:tcMar>
            <w:vAlign w:val="center"/>
          </w:tcPr>
          <w:p w14:paraId="265D12A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7,849</w:t>
            </w:r>
          </w:p>
        </w:tc>
        <w:tc>
          <w:tcPr>
            <w:tcW w:w="455" w:type="pct"/>
            <w:shd w:val="clear" w:color="auto" w:fill="FFFFFF"/>
            <w:tcMar>
              <w:top w:w="0" w:type="dxa"/>
              <w:left w:w="0" w:type="dxa"/>
              <w:bottom w:w="0" w:type="dxa"/>
              <w:right w:w="0" w:type="dxa"/>
            </w:tcMar>
            <w:vAlign w:val="center"/>
          </w:tcPr>
          <w:p w14:paraId="5BA2348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4,744</w:t>
            </w:r>
          </w:p>
        </w:tc>
        <w:tc>
          <w:tcPr>
            <w:tcW w:w="455" w:type="pct"/>
            <w:shd w:val="clear" w:color="auto" w:fill="FFFFFF"/>
            <w:tcMar>
              <w:top w:w="0" w:type="dxa"/>
              <w:left w:w="0" w:type="dxa"/>
              <w:bottom w:w="0" w:type="dxa"/>
              <w:right w:w="0" w:type="dxa"/>
            </w:tcMar>
            <w:vAlign w:val="center"/>
          </w:tcPr>
          <w:p w14:paraId="78C5723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2,519</w:t>
            </w:r>
          </w:p>
        </w:tc>
        <w:tc>
          <w:tcPr>
            <w:tcW w:w="455" w:type="pct"/>
            <w:shd w:val="clear" w:color="auto" w:fill="FFFFFF"/>
            <w:tcMar>
              <w:top w:w="0" w:type="dxa"/>
              <w:left w:w="0" w:type="dxa"/>
              <w:bottom w:w="0" w:type="dxa"/>
              <w:right w:w="0" w:type="dxa"/>
            </w:tcMar>
            <w:vAlign w:val="center"/>
          </w:tcPr>
          <w:p w14:paraId="49BC502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6,181</w:t>
            </w:r>
          </w:p>
        </w:tc>
        <w:tc>
          <w:tcPr>
            <w:tcW w:w="455" w:type="pct"/>
            <w:shd w:val="clear" w:color="auto" w:fill="FFFFFF"/>
            <w:tcMar>
              <w:top w:w="0" w:type="dxa"/>
              <w:left w:w="0" w:type="dxa"/>
              <w:bottom w:w="0" w:type="dxa"/>
              <w:right w:w="0" w:type="dxa"/>
            </w:tcMar>
            <w:vAlign w:val="center"/>
          </w:tcPr>
          <w:p w14:paraId="585C82D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7,079</w:t>
            </w:r>
          </w:p>
        </w:tc>
        <w:tc>
          <w:tcPr>
            <w:tcW w:w="455" w:type="pct"/>
            <w:shd w:val="clear" w:color="auto" w:fill="FFFFFF"/>
            <w:tcMar>
              <w:top w:w="0" w:type="dxa"/>
              <w:left w:w="0" w:type="dxa"/>
              <w:bottom w:w="0" w:type="dxa"/>
              <w:right w:w="0" w:type="dxa"/>
            </w:tcMar>
            <w:vAlign w:val="center"/>
          </w:tcPr>
          <w:p w14:paraId="70158B8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14.5%</w:t>
            </w:r>
          </w:p>
        </w:tc>
      </w:tr>
      <w:tr w:rsidR="004C3088" w14:paraId="43FC1E21" w14:textId="77777777" w:rsidTr="00F92D87">
        <w:trPr>
          <w:cantSplit/>
          <w:trHeight w:val="578"/>
          <w:jc w:val="center"/>
        </w:trPr>
        <w:tc>
          <w:tcPr>
            <w:tcW w:w="2273" w:type="pct"/>
            <w:shd w:val="clear" w:color="auto" w:fill="FFFFFF"/>
            <w:tcMar>
              <w:top w:w="0" w:type="dxa"/>
              <w:left w:w="0" w:type="dxa"/>
              <w:bottom w:w="0" w:type="dxa"/>
              <w:right w:w="0" w:type="dxa"/>
            </w:tcMar>
            <w:vAlign w:val="center"/>
          </w:tcPr>
          <w:p w14:paraId="687DFFA2"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Balancing item for total concluded</w:t>
            </w:r>
          </w:p>
        </w:tc>
        <w:tc>
          <w:tcPr>
            <w:tcW w:w="455" w:type="pct"/>
            <w:shd w:val="clear" w:color="auto" w:fill="FFFFFF"/>
            <w:tcMar>
              <w:top w:w="0" w:type="dxa"/>
              <w:left w:w="0" w:type="dxa"/>
              <w:bottom w:w="0" w:type="dxa"/>
              <w:right w:w="0" w:type="dxa"/>
            </w:tcMar>
            <w:vAlign w:val="center"/>
          </w:tcPr>
          <w:p w14:paraId="44C4D7F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110</w:t>
            </w:r>
          </w:p>
        </w:tc>
        <w:tc>
          <w:tcPr>
            <w:tcW w:w="455" w:type="pct"/>
            <w:shd w:val="clear" w:color="auto" w:fill="FFFFFF"/>
            <w:tcMar>
              <w:top w:w="0" w:type="dxa"/>
              <w:left w:w="0" w:type="dxa"/>
              <w:bottom w:w="0" w:type="dxa"/>
              <w:right w:w="0" w:type="dxa"/>
            </w:tcMar>
            <w:vAlign w:val="center"/>
          </w:tcPr>
          <w:p w14:paraId="4E9F2BE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71</w:t>
            </w:r>
          </w:p>
        </w:tc>
        <w:tc>
          <w:tcPr>
            <w:tcW w:w="455" w:type="pct"/>
            <w:shd w:val="clear" w:color="auto" w:fill="FFFFFF"/>
            <w:tcMar>
              <w:top w:w="0" w:type="dxa"/>
              <w:left w:w="0" w:type="dxa"/>
              <w:bottom w:w="0" w:type="dxa"/>
              <w:right w:w="0" w:type="dxa"/>
            </w:tcMar>
            <w:vAlign w:val="center"/>
          </w:tcPr>
          <w:p w14:paraId="4B64F83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w:t>
            </w:r>
          </w:p>
        </w:tc>
        <w:tc>
          <w:tcPr>
            <w:tcW w:w="455" w:type="pct"/>
            <w:shd w:val="clear" w:color="auto" w:fill="FFFFFF"/>
            <w:tcMar>
              <w:top w:w="0" w:type="dxa"/>
              <w:left w:w="0" w:type="dxa"/>
              <w:bottom w:w="0" w:type="dxa"/>
              <w:right w:w="0" w:type="dxa"/>
            </w:tcMar>
            <w:vAlign w:val="center"/>
          </w:tcPr>
          <w:p w14:paraId="7B933D0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455" w:type="pct"/>
            <w:shd w:val="clear" w:color="auto" w:fill="FFFFFF"/>
            <w:tcMar>
              <w:top w:w="0" w:type="dxa"/>
              <w:left w:w="0" w:type="dxa"/>
              <w:bottom w:w="0" w:type="dxa"/>
              <w:right w:w="0" w:type="dxa"/>
            </w:tcMar>
            <w:vAlign w:val="center"/>
          </w:tcPr>
          <w:p w14:paraId="5A98463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w:t>
            </w:r>
          </w:p>
        </w:tc>
        <w:tc>
          <w:tcPr>
            <w:tcW w:w="455" w:type="pct"/>
            <w:shd w:val="clear" w:color="auto" w:fill="FFFFFF"/>
            <w:tcMar>
              <w:top w:w="0" w:type="dxa"/>
              <w:left w:w="0" w:type="dxa"/>
              <w:bottom w:w="0" w:type="dxa"/>
              <w:right w:w="0" w:type="dxa"/>
            </w:tcMar>
            <w:vAlign w:val="center"/>
          </w:tcPr>
          <w:p w14:paraId="1EC9EFA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14:paraId="28008ADD" w14:textId="77777777" w:rsidTr="00F92D87">
        <w:trPr>
          <w:cantSplit/>
          <w:trHeight w:val="559"/>
          <w:jc w:val="center"/>
        </w:trPr>
        <w:tc>
          <w:tcPr>
            <w:tcW w:w="2273" w:type="pct"/>
            <w:shd w:val="clear" w:color="auto" w:fill="FFFFFF"/>
            <w:tcMar>
              <w:top w:w="0" w:type="dxa"/>
              <w:left w:w="0" w:type="dxa"/>
              <w:bottom w:w="0" w:type="dxa"/>
              <w:right w:w="0" w:type="dxa"/>
            </w:tcMar>
            <w:vAlign w:val="center"/>
          </w:tcPr>
          <w:p w14:paraId="3A1CBBDE"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Form 11</w:t>
            </w:r>
          </w:p>
        </w:tc>
        <w:tc>
          <w:tcPr>
            <w:tcW w:w="455" w:type="pct"/>
            <w:shd w:val="clear" w:color="auto" w:fill="FFFFFF"/>
            <w:tcMar>
              <w:top w:w="0" w:type="dxa"/>
              <w:left w:w="0" w:type="dxa"/>
              <w:bottom w:w="0" w:type="dxa"/>
              <w:right w:w="0" w:type="dxa"/>
            </w:tcMar>
            <w:vAlign w:val="center"/>
          </w:tcPr>
          <w:p w14:paraId="7B60125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102</w:t>
            </w:r>
          </w:p>
        </w:tc>
        <w:tc>
          <w:tcPr>
            <w:tcW w:w="455" w:type="pct"/>
            <w:shd w:val="clear" w:color="auto" w:fill="FFFFFF"/>
            <w:tcMar>
              <w:top w:w="0" w:type="dxa"/>
              <w:left w:w="0" w:type="dxa"/>
              <w:bottom w:w="0" w:type="dxa"/>
              <w:right w:w="0" w:type="dxa"/>
            </w:tcMar>
            <w:vAlign w:val="center"/>
          </w:tcPr>
          <w:p w14:paraId="2FAD1DA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39</w:t>
            </w:r>
          </w:p>
        </w:tc>
        <w:tc>
          <w:tcPr>
            <w:tcW w:w="455" w:type="pct"/>
            <w:shd w:val="clear" w:color="auto" w:fill="FFFFFF"/>
            <w:tcMar>
              <w:top w:w="0" w:type="dxa"/>
              <w:left w:w="0" w:type="dxa"/>
              <w:bottom w:w="0" w:type="dxa"/>
              <w:right w:w="0" w:type="dxa"/>
            </w:tcMar>
            <w:vAlign w:val="center"/>
          </w:tcPr>
          <w:p w14:paraId="1F584FF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w:t>
            </w:r>
          </w:p>
        </w:tc>
        <w:tc>
          <w:tcPr>
            <w:tcW w:w="455" w:type="pct"/>
            <w:shd w:val="clear" w:color="auto" w:fill="FFFFFF"/>
            <w:tcMar>
              <w:top w:w="0" w:type="dxa"/>
              <w:left w:w="0" w:type="dxa"/>
              <w:bottom w:w="0" w:type="dxa"/>
              <w:right w:w="0" w:type="dxa"/>
            </w:tcMar>
            <w:vAlign w:val="center"/>
          </w:tcPr>
          <w:p w14:paraId="1A01641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w:t>
            </w:r>
          </w:p>
        </w:tc>
        <w:tc>
          <w:tcPr>
            <w:tcW w:w="455" w:type="pct"/>
            <w:shd w:val="clear" w:color="auto" w:fill="FFFFFF"/>
            <w:tcMar>
              <w:top w:w="0" w:type="dxa"/>
              <w:left w:w="0" w:type="dxa"/>
              <w:bottom w:w="0" w:type="dxa"/>
              <w:right w:w="0" w:type="dxa"/>
            </w:tcMar>
            <w:vAlign w:val="center"/>
          </w:tcPr>
          <w:p w14:paraId="4269B5A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w:t>
            </w:r>
          </w:p>
        </w:tc>
        <w:tc>
          <w:tcPr>
            <w:tcW w:w="455" w:type="pct"/>
            <w:shd w:val="clear" w:color="auto" w:fill="FFFFFF"/>
            <w:tcMar>
              <w:top w:w="0" w:type="dxa"/>
              <w:left w:w="0" w:type="dxa"/>
              <w:bottom w:w="0" w:type="dxa"/>
              <w:right w:w="0" w:type="dxa"/>
            </w:tcMar>
            <w:vAlign w:val="center"/>
          </w:tcPr>
          <w:p w14:paraId="6C698AD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-81.3%</w:t>
            </w:r>
          </w:p>
        </w:tc>
      </w:tr>
      <w:tr w:rsidR="004C3088" w14:paraId="4F229206" w14:textId="77777777" w:rsidTr="00F92D87">
        <w:trPr>
          <w:cantSplit/>
          <w:trHeight w:val="425"/>
          <w:jc w:val="center"/>
        </w:trPr>
        <w:tc>
          <w:tcPr>
            <w:tcW w:w="2273" w:type="pct"/>
            <w:shd w:val="clear" w:color="auto" w:fill="FFFFFF"/>
            <w:tcMar>
              <w:top w:w="0" w:type="dxa"/>
              <w:left w:w="0" w:type="dxa"/>
              <w:bottom w:w="0" w:type="dxa"/>
              <w:right w:w="0" w:type="dxa"/>
            </w:tcMar>
            <w:vAlign w:val="center"/>
          </w:tcPr>
          <w:p w14:paraId="37DC06A5"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Form 7</w:t>
            </w:r>
          </w:p>
        </w:tc>
        <w:tc>
          <w:tcPr>
            <w:tcW w:w="455" w:type="pct"/>
            <w:shd w:val="clear" w:color="auto" w:fill="FFFFFF"/>
            <w:tcMar>
              <w:top w:w="0" w:type="dxa"/>
              <w:left w:w="0" w:type="dxa"/>
              <w:bottom w:w="0" w:type="dxa"/>
              <w:right w:w="0" w:type="dxa"/>
            </w:tcMar>
            <w:vAlign w:val="center"/>
          </w:tcPr>
          <w:p w14:paraId="0EF7B0E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7,637</w:t>
            </w:r>
          </w:p>
        </w:tc>
        <w:tc>
          <w:tcPr>
            <w:tcW w:w="455" w:type="pct"/>
            <w:shd w:val="clear" w:color="auto" w:fill="FFFFFF"/>
            <w:tcMar>
              <w:top w:w="0" w:type="dxa"/>
              <w:left w:w="0" w:type="dxa"/>
              <w:bottom w:w="0" w:type="dxa"/>
              <w:right w:w="0" w:type="dxa"/>
            </w:tcMar>
            <w:vAlign w:val="center"/>
          </w:tcPr>
          <w:p w14:paraId="4F4B246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4,634</w:t>
            </w:r>
          </w:p>
        </w:tc>
        <w:tc>
          <w:tcPr>
            <w:tcW w:w="455" w:type="pct"/>
            <w:shd w:val="clear" w:color="auto" w:fill="FFFFFF"/>
            <w:tcMar>
              <w:top w:w="0" w:type="dxa"/>
              <w:left w:w="0" w:type="dxa"/>
              <w:bottom w:w="0" w:type="dxa"/>
              <w:right w:w="0" w:type="dxa"/>
            </w:tcMar>
            <w:vAlign w:val="center"/>
          </w:tcPr>
          <w:p w14:paraId="10C1498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2,516</w:t>
            </w:r>
          </w:p>
        </w:tc>
        <w:tc>
          <w:tcPr>
            <w:tcW w:w="455" w:type="pct"/>
            <w:shd w:val="clear" w:color="auto" w:fill="FFFFFF"/>
            <w:tcMar>
              <w:top w:w="0" w:type="dxa"/>
              <w:left w:w="0" w:type="dxa"/>
              <w:bottom w:w="0" w:type="dxa"/>
              <w:right w:w="0" w:type="dxa"/>
            </w:tcMar>
            <w:vAlign w:val="center"/>
          </w:tcPr>
          <w:p w14:paraId="622DC6E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6,165</w:t>
            </w:r>
          </w:p>
        </w:tc>
        <w:tc>
          <w:tcPr>
            <w:tcW w:w="455" w:type="pct"/>
            <w:shd w:val="clear" w:color="auto" w:fill="FFFFFF"/>
            <w:tcMar>
              <w:top w:w="0" w:type="dxa"/>
              <w:left w:w="0" w:type="dxa"/>
              <w:bottom w:w="0" w:type="dxa"/>
              <w:right w:w="0" w:type="dxa"/>
            </w:tcMar>
            <w:vAlign w:val="center"/>
          </w:tcPr>
          <w:p w14:paraId="1133B0F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7,075</w:t>
            </w:r>
          </w:p>
        </w:tc>
        <w:tc>
          <w:tcPr>
            <w:tcW w:w="455" w:type="pct"/>
            <w:shd w:val="clear" w:color="auto" w:fill="FFFFFF"/>
            <w:tcMar>
              <w:top w:w="0" w:type="dxa"/>
              <w:left w:w="0" w:type="dxa"/>
              <w:bottom w:w="0" w:type="dxa"/>
              <w:right w:w="0" w:type="dxa"/>
            </w:tcMar>
            <w:vAlign w:val="center"/>
          </w:tcPr>
          <w:p w14:paraId="07186D3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14.8%</w:t>
            </w:r>
          </w:p>
        </w:tc>
      </w:tr>
      <w:tr w:rsidR="004C3088" w14:paraId="52B6BF66" w14:textId="77777777" w:rsidTr="00F92D87">
        <w:trPr>
          <w:cantSplit/>
          <w:trHeight w:val="700"/>
          <w:jc w:val="center"/>
        </w:trPr>
        <w:tc>
          <w:tcPr>
            <w:tcW w:w="2273" w:type="pct"/>
            <w:shd w:val="clear" w:color="auto" w:fill="FFFFFF"/>
            <w:tcMar>
              <w:top w:w="0" w:type="dxa"/>
              <w:left w:w="0" w:type="dxa"/>
              <w:bottom w:w="0" w:type="dxa"/>
              <w:right w:w="0" w:type="dxa"/>
            </w:tcMar>
            <w:vAlign w:val="center"/>
          </w:tcPr>
          <w:p w14:paraId="7C48CF1C"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Form 7 only: PTDs in which the debtor is not discharged</w:t>
            </w:r>
          </w:p>
        </w:tc>
        <w:tc>
          <w:tcPr>
            <w:tcW w:w="455" w:type="pct"/>
            <w:shd w:val="clear" w:color="auto" w:fill="FFFFFF"/>
            <w:tcMar>
              <w:top w:w="0" w:type="dxa"/>
              <w:left w:w="0" w:type="dxa"/>
              <w:bottom w:w="0" w:type="dxa"/>
              <w:right w:w="0" w:type="dxa"/>
            </w:tcMar>
            <w:vAlign w:val="center"/>
          </w:tcPr>
          <w:p w14:paraId="103E6AB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1,660</w:t>
            </w:r>
          </w:p>
        </w:tc>
        <w:tc>
          <w:tcPr>
            <w:tcW w:w="455" w:type="pct"/>
            <w:shd w:val="clear" w:color="auto" w:fill="FFFFFF"/>
            <w:tcMar>
              <w:top w:w="0" w:type="dxa"/>
              <w:left w:w="0" w:type="dxa"/>
              <w:bottom w:w="0" w:type="dxa"/>
              <w:right w:w="0" w:type="dxa"/>
            </w:tcMar>
            <w:vAlign w:val="center"/>
          </w:tcPr>
          <w:p w14:paraId="458FFC8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1,186</w:t>
            </w:r>
          </w:p>
        </w:tc>
        <w:tc>
          <w:tcPr>
            <w:tcW w:w="455" w:type="pct"/>
            <w:shd w:val="clear" w:color="auto" w:fill="FFFFFF"/>
            <w:tcMar>
              <w:top w:w="0" w:type="dxa"/>
              <w:left w:w="0" w:type="dxa"/>
              <w:bottom w:w="0" w:type="dxa"/>
              <w:right w:w="0" w:type="dxa"/>
            </w:tcMar>
            <w:vAlign w:val="center"/>
          </w:tcPr>
          <w:p w14:paraId="3FD7233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889</w:t>
            </w:r>
          </w:p>
        </w:tc>
        <w:tc>
          <w:tcPr>
            <w:tcW w:w="455" w:type="pct"/>
            <w:shd w:val="clear" w:color="auto" w:fill="FFFFFF"/>
            <w:tcMar>
              <w:top w:w="0" w:type="dxa"/>
              <w:left w:w="0" w:type="dxa"/>
              <w:bottom w:w="0" w:type="dxa"/>
              <w:right w:w="0" w:type="dxa"/>
            </w:tcMar>
            <w:vAlign w:val="center"/>
          </w:tcPr>
          <w:p w14:paraId="3B6F48A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679</w:t>
            </w:r>
          </w:p>
        </w:tc>
        <w:tc>
          <w:tcPr>
            <w:tcW w:w="455" w:type="pct"/>
            <w:shd w:val="clear" w:color="auto" w:fill="FFFFFF"/>
            <w:tcMar>
              <w:top w:w="0" w:type="dxa"/>
              <w:left w:w="0" w:type="dxa"/>
              <w:bottom w:w="0" w:type="dxa"/>
              <w:right w:w="0" w:type="dxa"/>
            </w:tcMar>
            <w:vAlign w:val="center"/>
          </w:tcPr>
          <w:p w14:paraId="37430DA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1,137</w:t>
            </w:r>
          </w:p>
        </w:tc>
        <w:tc>
          <w:tcPr>
            <w:tcW w:w="455" w:type="pct"/>
            <w:shd w:val="clear" w:color="auto" w:fill="FFFFFF"/>
            <w:tcMar>
              <w:top w:w="0" w:type="dxa"/>
              <w:left w:w="0" w:type="dxa"/>
              <w:bottom w:w="0" w:type="dxa"/>
              <w:right w:w="0" w:type="dxa"/>
            </w:tcMar>
            <w:vAlign w:val="center"/>
          </w:tcPr>
          <w:p w14:paraId="22708BF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67.5%</w:t>
            </w:r>
          </w:p>
        </w:tc>
      </w:tr>
      <w:tr w:rsidR="004C3088" w14:paraId="25A177A7" w14:textId="77777777" w:rsidTr="00F92D87">
        <w:trPr>
          <w:cantSplit/>
          <w:trHeight w:val="724"/>
          <w:jc w:val="center"/>
        </w:trPr>
        <w:tc>
          <w:tcPr>
            <w:tcW w:w="2273" w:type="pct"/>
            <w:shd w:val="clear" w:color="auto" w:fill="FFFFFF"/>
            <w:tcMar>
              <w:top w:w="0" w:type="dxa"/>
              <w:left w:w="0" w:type="dxa"/>
              <w:bottom w:w="0" w:type="dxa"/>
              <w:right w:w="0" w:type="dxa"/>
            </w:tcMar>
            <w:vAlign w:val="center"/>
          </w:tcPr>
          <w:p w14:paraId="47D99421"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No dividend was payable to ordinary creditors</w:t>
            </w:r>
          </w:p>
        </w:tc>
        <w:tc>
          <w:tcPr>
            <w:tcW w:w="455" w:type="pct"/>
            <w:shd w:val="clear" w:color="auto" w:fill="FFFFFF"/>
            <w:tcMar>
              <w:top w:w="0" w:type="dxa"/>
              <w:left w:w="0" w:type="dxa"/>
              <w:bottom w:w="0" w:type="dxa"/>
              <w:right w:w="0" w:type="dxa"/>
            </w:tcMar>
            <w:vAlign w:val="center"/>
          </w:tcPr>
          <w:p w14:paraId="01149B4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1,887</w:t>
            </w:r>
          </w:p>
        </w:tc>
        <w:tc>
          <w:tcPr>
            <w:tcW w:w="455" w:type="pct"/>
            <w:shd w:val="clear" w:color="auto" w:fill="FFFFFF"/>
            <w:tcMar>
              <w:top w:w="0" w:type="dxa"/>
              <w:left w:w="0" w:type="dxa"/>
              <w:bottom w:w="0" w:type="dxa"/>
              <w:right w:w="0" w:type="dxa"/>
            </w:tcMar>
            <w:vAlign w:val="center"/>
          </w:tcPr>
          <w:p w14:paraId="0E9655E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1,372</w:t>
            </w:r>
          </w:p>
        </w:tc>
        <w:tc>
          <w:tcPr>
            <w:tcW w:w="455" w:type="pct"/>
            <w:shd w:val="clear" w:color="auto" w:fill="FFFFFF"/>
            <w:tcMar>
              <w:top w:w="0" w:type="dxa"/>
              <w:left w:w="0" w:type="dxa"/>
              <w:bottom w:w="0" w:type="dxa"/>
              <w:right w:w="0" w:type="dxa"/>
            </w:tcMar>
            <w:vAlign w:val="center"/>
          </w:tcPr>
          <w:p w14:paraId="386A479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1,011</w:t>
            </w:r>
          </w:p>
        </w:tc>
        <w:tc>
          <w:tcPr>
            <w:tcW w:w="455" w:type="pct"/>
            <w:shd w:val="clear" w:color="auto" w:fill="FFFFFF"/>
            <w:tcMar>
              <w:top w:w="0" w:type="dxa"/>
              <w:left w:w="0" w:type="dxa"/>
              <w:bottom w:w="0" w:type="dxa"/>
              <w:right w:w="0" w:type="dxa"/>
            </w:tcMar>
            <w:vAlign w:val="center"/>
          </w:tcPr>
          <w:p w14:paraId="6049A54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972</w:t>
            </w:r>
          </w:p>
        </w:tc>
        <w:tc>
          <w:tcPr>
            <w:tcW w:w="455" w:type="pct"/>
            <w:shd w:val="clear" w:color="auto" w:fill="FFFFFF"/>
            <w:tcMar>
              <w:top w:w="0" w:type="dxa"/>
              <w:left w:w="0" w:type="dxa"/>
              <w:bottom w:w="0" w:type="dxa"/>
              <w:right w:w="0" w:type="dxa"/>
            </w:tcMar>
            <w:vAlign w:val="center"/>
          </w:tcPr>
          <w:p w14:paraId="0455FA6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1,656</w:t>
            </w:r>
          </w:p>
        </w:tc>
        <w:tc>
          <w:tcPr>
            <w:tcW w:w="455" w:type="pct"/>
            <w:shd w:val="clear" w:color="auto" w:fill="FFFFFF"/>
            <w:tcMar>
              <w:top w:w="0" w:type="dxa"/>
              <w:left w:w="0" w:type="dxa"/>
              <w:bottom w:w="0" w:type="dxa"/>
              <w:right w:w="0" w:type="dxa"/>
            </w:tcMar>
            <w:vAlign w:val="center"/>
          </w:tcPr>
          <w:p w14:paraId="7174B71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70.4%</w:t>
            </w:r>
          </w:p>
        </w:tc>
      </w:tr>
      <w:tr w:rsidR="004C3088" w14:paraId="43574A58" w14:textId="77777777" w:rsidTr="00F92D87">
        <w:trPr>
          <w:cantSplit/>
          <w:trHeight w:val="692"/>
          <w:jc w:val="center"/>
        </w:trPr>
        <w:tc>
          <w:tcPr>
            <w:tcW w:w="2273" w:type="pct"/>
            <w:shd w:val="clear" w:color="auto" w:fill="FFFFFF"/>
            <w:tcMar>
              <w:top w:w="0" w:type="dxa"/>
              <w:left w:w="0" w:type="dxa"/>
              <w:bottom w:w="0" w:type="dxa"/>
              <w:right w:w="0" w:type="dxa"/>
            </w:tcMar>
            <w:vAlign w:val="center"/>
          </w:tcPr>
          <w:p w14:paraId="3E780A6C"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Dividend payable to preferred creditors only</w:t>
            </w:r>
          </w:p>
        </w:tc>
        <w:tc>
          <w:tcPr>
            <w:tcW w:w="455" w:type="pct"/>
            <w:shd w:val="clear" w:color="auto" w:fill="FFFFFF"/>
            <w:tcMar>
              <w:top w:w="0" w:type="dxa"/>
              <w:left w:w="0" w:type="dxa"/>
              <w:bottom w:w="0" w:type="dxa"/>
              <w:right w:w="0" w:type="dxa"/>
            </w:tcMar>
            <w:vAlign w:val="center"/>
          </w:tcPr>
          <w:p w14:paraId="1E34B96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w:t>
            </w:r>
          </w:p>
        </w:tc>
        <w:tc>
          <w:tcPr>
            <w:tcW w:w="455" w:type="pct"/>
            <w:shd w:val="clear" w:color="auto" w:fill="FFFFFF"/>
            <w:tcMar>
              <w:top w:w="0" w:type="dxa"/>
              <w:left w:w="0" w:type="dxa"/>
              <w:bottom w:w="0" w:type="dxa"/>
              <w:right w:w="0" w:type="dxa"/>
            </w:tcMar>
            <w:vAlign w:val="center"/>
          </w:tcPr>
          <w:p w14:paraId="67B8D0D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w:t>
            </w:r>
          </w:p>
        </w:tc>
        <w:tc>
          <w:tcPr>
            <w:tcW w:w="455" w:type="pct"/>
            <w:shd w:val="clear" w:color="auto" w:fill="FFFFFF"/>
            <w:tcMar>
              <w:top w:w="0" w:type="dxa"/>
              <w:left w:w="0" w:type="dxa"/>
              <w:bottom w:w="0" w:type="dxa"/>
              <w:right w:w="0" w:type="dxa"/>
            </w:tcMar>
            <w:vAlign w:val="center"/>
          </w:tcPr>
          <w:p w14:paraId="3831E6E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455" w:type="pct"/>
            <w:shd w:val="clear" w:color="auto" w:fill="FFFFFF"/>
            <w:tcMar>
              <w:top w:w="0" w:type="dxa"/>
              <w:left w:w="0" w:type="dxa"/>
              <w:bottom w:w="0" w:type="dxa"/>
              <w:right w:w="0" w:type="dxa"/>
            </w:tcMar>
            <w:vAlign w:val="center"/>
          </w:tcPr>
          <w:p w14:paraId="6D7441B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w:t>
            </w:r>
          </w:p>
        </w:tc>
        <w:tc>
          <w:tcPr>
            <w:tcW w:w="455" w:type="pct"/>
            <w:shd w:val="clear" w:color="auto" w:fill="FFFFFF"/>
            <w:tcMar>
              <w:top w:w="0" w:type="dxa"/>
              <w:left w:w="0" w:type="dxa"/>
              <w:bottom w:w="0" w:type="dxa"/>
              <w:right w:w="0" w:type="dxa"/>
            </w:tcMar>
            <w:vAlign w:val="center"/>
          </w:tcPr>
          <w:p w14:paraId="20094DB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w:t>
            </w:r>
          </w:p>
        </w:tc>
        <w:tc>
          <w:tcPr>
            <w:tcW w:w="455" w:type="pct"/>
            <w:shd w:val="clear" w:color="auto" w:fill="FFFFFF"/>
            <w:tcMar>
              <w:top w:w="0" w:type="dxa"/>
              <w:left w:w="0" w:type="dxa"/>
              <w:bottom w:w="0" w:type="dxa"/>
              <w:right w:w="0" w:type="dxa"/>
            </w:tcMar>
            <w:vAlign w:val="center"/>
          </w:tcPr>
          <w:p w14:paraId="1FF634E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14:paraId="7652A53A" w14:textId="77777777" w:rsidTr="00F92D87">
        <w:trPr>
          <w:cantSplit/>
          <w:trHeight w:val="716"/>
          <w:jc w:val="center"/>
        </w:trPr>
        <w:tc>
          <w:tcPr>
            <w:tcW w:w="2273" w:type="pct"/>
            <w:shd w:val="clear" w:color="auto" w:fill="FFFFFF"/>
            <w:tcMar>
              <w:top w:w="0" w:type="dxa"/>
              <w:left w:w="0" w:type="dxa"/>
              <w:bottom w:w="0" w:type="dxa"/>
              <w:right w:w="0" w:type="dxa"/>
            </w:tcMar>
            <w:vAlign w:val="center"/>
          </w:tcPr>
          <w:p w14:paraId="06CBEB10"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Dividend payable to ordinary creditors</w:t>
            </w:r>
          </w:p>
        </w:tc>
        <w:tc>
          <w:tcPr>
            <w:tcW w:w="455" w:type="pct"/>
            <w:shd w:val="clear" w:color="auto" w:fill="FFFFFF"/>
            <w:tcMar>
              <w:top w:w="0" w:type="dxa"/>
              <w:left w:w="0" w:type="dxa"/>
              <w:bottom w:w="0" w:type="dxa"/>
              <w:right w:w="0" w:type="dxa"/>
            </w:tcMar>
            <w:vAlign w:val="center"/>
          </w:tcPr>
          <w:p w14:paraId="5805772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5,974</w:t>
            </w:r>
          </w:p>
        </w:tc>
        <w:tc>
          <w:tcPr>
            <w:tcW w:w="455" w:type="pct"/>
            <w:shd w:val="clear" w:color="auto" w:fill="FFFFFF"/>
            <w:tcMar>
              <w:top w:w="0" w:type="dxa"/>
              <w:left w:w="0" w:type="dxa"/>
              <w:bottom w:w="0" w:type="dxa"/>
              <w:right w:w="0" w:type="dxa"/>
            </w:tcMar>
            <w:vAlign w:val="center"/>
          </w:tcPr>
          <w:p w14:paraId="64B9627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3,377</w:t>
            </w:r>
          </w:p>
        </w:tc>
        <w:tc>
          <w:tcPr>
            <w:tcW w:w="455" w:type="pct"/>
            <w:shd w:val="clear" w:color="auto" w:fill="FFFFFF"/>
            <w:tcMar>
              <w:top w:w="0" w:type="dxa"/>
              <w:left w:w="0" w:type="dxa"/>
              <w:bottom w:w="0" w:type="dxa"/>
              <w:right w:w="0" w:type="dxa"/>
            </w:tcMar>
            <w:vAlign w:val="center"/>
          </w:tcPr>
          <w:p w14:paraId="37046C9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1,513</w:t>
            </w:r>
          </w:p>
        </w:tc>
        <w:tc>
          <w:tcPr>
            <w:tcW w:w="455" w:type="pct"/>
            <w:shd w:val="clear" w:color="auto" w:fill="FFFFFF"/>
            <w:tcMar>
              <w:top w:w="0" w:type="dxa"/>
              <w:left w:w="0" w:type="dxa"/>
              <w:bottom w:w="0" w:type="dxa"/>
              <w:right w:w="0" w:type="dxa"/>
            </w:tcMar>
            <w:vAlign w:val="center"/>
          </w:tcPr>
          <w:p w14:paraId="3FC7B20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5,206</w:t>
            </w:r>
          </w:p>
        </w:tc>
        <w:tc>
          <w:tcPr>
            <w:tcW w:w="455" w:type="pct"/>
            <w:shd w:val="clear" w:color="auto" w:fill="FFFFFF"/>
            <w:tcMar>
              <w:top w:w="0" w:type="dxa"/>
              <w:left w:w="0" w:type="dxa"/>
              <w:bottom w:w="0" w:type="dxa"/>
              <w:right w:w="0" w:type="dxa"/>
            </w:tcMar>
            <w:vAlign w:val="center"/>
          </w:tcPr>
          <w:p w14:paraId="6B04AA9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5,421</w:t>
            </w:r>
          </w:p>
        </w:tc>
        <w:tc>
          <w:tcPr>
            <w:tcW w:w="455" w:type="pct"/>
            <w:shd w:val="clear" w:color="auto" w:fill="FFFFFF"/>
            <w:tcMar>
              <w:top w:w="0" w:type="dxa"/>
              <w:left w:w="0" w:type="dxa"/>
              <w:bottom w:w="0" w:type="dxa"/>
              <w:right w:w="0" w:type="dxa"/>
            </w:tcMar>
            <w:vAlign w:val="center"/>
          </w:tcPr>
          <w:p w14:paraId="2D10BDE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4.1%</w:t>
            </w:r>
          </w:p>
        </w:tc>
      </w:tr>
      <w:tr w:rsidR="004C3088" w14:paraId="3C83994D" w14:textId="77777777" w:rsidTr="00F92D87">
        <w:trPr>
          <w:cantSplit/>
          <w:trHeight w:val="839"/>
          <w:jc w:val="center"/>
        </w:trPr>
        <w:tc>
          <w:tcPr>
            <w:tcW w:w="2273" w:type="pct"/>
            <w:shd w:val="clear" w:color="auto" w:fill="FFFFFF"/>
            <w:tcMar>
              <w:top w:w="0" w:type="dxa"/>
              <w:left w:w="0" w:type="dxa"/>
              <w:bottom w:w="0" w:type="dxa"/>
              <w:right w:w="0" w:type="dxa"/>
            </w:tcMar>
            <w:vAlign w:val="center"/>
          </w:tcPr>
          <w:p w14:paraId="5B999F80"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Live cases at the end of the financial year</w:t>
            </w:r>
          </w:p>
        </w:tc>
        <w:tc>
          <w:tcPr>
            <w:tcW w:w="455" w:type="pct"/>
            <w:shd w:val="clear" w:color="auto" w:fill="FFFFFF"/>
            <w:tcMar>
              <w:top w:w="0" w:type="dxa"/>
              <w:left w:w="0" w:type="dxa"/>
              <w:bottom w:w="0" w:type="dxa"/>
              <w:right w:w="0" w:type="dxa"/>
            </w:tcMar>
            <w:vAlign w:val="center"/>
          </w:tcPr>
          <w:p w14:paraId="2F88CE0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26,030</w:t>
            </w:r>
          </w:p>
        </w:tc>
        <w:tc>
          <w:tcPr>
            <w:tcW w:w="455" w:type="pct"/>
            <w:shd w:val="clear" w:color="auto" w:fill="FFFFFF"/>
            <w:tcMar>
              <w:top w:w="0" w:type="dxa"/>
              <w:left w:w="0" w:type="dxa"/>
              <w:bottom w:w="0" w:type="dxa"/>
              <w:right w:w="0" w:type="dxa"/>
            </w:tcMar>
            <w:vAlign w:val="center"/>
          </w:tcPr>
          <w:p w14:paraId="2E55159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30,029</w:t>
            </w:r>
          </w:p>
        </w:tc>
        <w:tc>
          <w:tcPr>
            <w:tcW w:w="455" w:type="pct"/>
            <w:shd w:val="clear" w:color="auto" w:fill="FFFFFF"/>
            <w:tcMar>
              <w:top w:w="0" w:type="dxa"/>
              <w:left w:w="0" w:type="dxa"/>
              <w:bottom w:w="0" w:type="dxa"/>
              <w:right w:w="0" w:type="dxa"/>
            </w:tcMar>
            <w:vAlign w:val="center"/>
          </w:tcPr>
          <w:p w14:paraId="112B534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32,773</w:t>
            </w:r>
          </w:p>
        </w:tc>
        <w:tc>
          <w:tcPr>
            <w:tcW w:w="455" w:type="pct"/>
            <w:shd w:val="clear" w:color="auto" w:fill="FFFFFF"/>
            <w:tcMar>
              <w:top w:w="0" w:type="dxa"/>
              <w:left w:w="0" w:type="dxa"/>
              <w:bottom w:w="0" w:type="dxa"/>
              <w:right w:w="0" w:type="dxa"/>
            </w:tcMar>
            <w:vAlign w:val="center"/>
          </w:tcPr>
          <w:p w14:paraId="4625739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32,056</w:t>
            </w:r>
          </w:p>
        </w:tc>
        <w:tc>
          <w:tcPr>
            <w:tcW w:w="455" w:type="pct"/>
            <w:shd w:val="clear" w:color="auto" w:fill="FFFFFF"/>
            <w:tcMar>
              <w:top w:w="0" w:type="dxa"/>
              <w:left w:w="0" w:type="dxa"/>
              <w:bottom w:w="0" w:type="dxa"/>
              <w:right w:w="0" w:type="dxa"/>
            </w:tcMar>
            <w:vAlign w:val="center"/>
          </w:tcPr>
          <w:p w14:paraId="25D09B0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30,621</w:t>
            </w:r>
          </w:p>
        </w:tc>
        <w:tc>
          <w:tcPr>
            <w:tcW w:w="455" w:type="pct"/>
            <w:shd w:val="clear" w:color="auto" w:fill="FFFFFF"/>
            <w:tcMar>
              <w:top w:w="0" w:type="dxa"/>
              <w:left w:w="0" w:type="dxa"/>
              <w:bottom w:w="0" w:type="dxa"/>
              <w:right w:w="0" w:type="dxa"/>
            </w:tcMar>
            <w:vAlign w:val="center"/>
          </w:tcPr>
          <w:p w14:paraId="4ED7812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-4.5%</w:t>
            </w:r>
          </w:p>
        </w:tc>
      </w:tr>
      <w:tr w:rsidR="004C3088" w14:paraId="65F35EDC" w14:textId="77777777" w:rsidTr="00F92D87">
        <w:trPr>
          <w:cantSplit/>
          <w:trHeight w:val="839"/>
          <w:jc w:val="center"/>
        </w:trPr>
        <w:tc>
          <w:tcPr>
            <w:tcW w:w="5000" w:type="pct"/>
            <w:gridSpan w:val="7"/>
            <w:tcBorders>
              <w:top w:val="single" w:sz="8" w:space="0" w:color="BEBEBE"/>
            </w:tcBorders>
            <w:shd w:val="clear" w:color="auto" w:fill="FFFFFF"/>
            <w:tcMar>
              <w:top w:w="0" w:type="dxa"/>
              <w:left w:w="0" w:type="dxa"/>
              <w:bottom w:w="0" w:type="dxa"/>
              <w:right w:w="0" w:type="dxa"/>
            </w:tcMar>
            <w:vAlign w:val="center"/>
          </w:tcPr>
          <w:p w14:paraId="1F9D05C7" w14:textId="77777777" w:rsidR="004C3088" w:rsidRPr="00F92D87" w:rsidRDefault="002556CC">
            <w:pPr>
              <w:spacing w:after="0"/>
              <w:rPr>
                <w:rFonts w:ascii="Arial" w:hAnsi="Arial" w:cs="Arial"/>
                <w:sz w:val="22"/>
                <w:szCs w:val="22"/>
              </w:rPr>
            </w:pPr>
            <w:r w:rsidRPr="00F92D87">
              <w:rPr>
                <w:rFonts w:ascii="Arial" w:eastAsia="Arial" w:hAnsi="Arial" w:cs="Arial"/>
                <w:color w:val="000000"/>
                <w:sz w:val="22"/>
                <w:szCs w:val="22"/>
              </w:rPr>
              <w:t>Source: Accountant in Bankruptcy</w:t>
            </w:r>
          </w:p>
        </w:tc>
      </w:tr>
    </w:tbl>
    <w:p w14:paraId="448B0745" w14:textId="77777777" w:rsidR="004C3088" w:rsidRDefault="004C3088">
      <w:pPr>
        <w:pStyle w:val="BodyText"/>
      </w:pPr>
    </w:p>
    <w:p w14:paraId="24A2CABE" w14:textId="77777777" w:rsidR="004C3088" w:rsidRDefault="002556CC">
      <w:pPr>
        <w:pStyle w:val="BodyText"/>
      </w:pPr>
      <w:r>
        <w:t>In 2022-23, a dividend was paid to creditors in 76.6% of cases concluded in year, a decrease on the proportion in the previous year (84.3%). Excluding PTDs where the debtor is not discharged, a dividend was paid in 91.2% of cases concluded - for which dividend information is available - in 2022-23.</w:t>
      </w:r>
    </w:p>
    <w:p w14:paraId="1448AB59" w14:textId="77777777" w:rsidR="004C3088" w:rsidRDefault="002556CC">
      <w:pPr>
        <w:pStyle w:val="BodyText"/>
      </w:pPr>
      <w:r>
        <w:t xml:space="preserve">Table 6 shows the distribution of funds collected and allocated at the discharge of the trustee between 2018-19 and 2022-23 for cases concluded. In 2022-23, almost £58.4 </w:t>
      </w:r>
      <w:r>
        <w:lastRenderedPageBreak/>
        <w:t>million was ingathered, 7.6% more than the total receipts in 2021-22. Overall, 39.7% of total receipts was payable to creditors through a dividend compared with 37.9% in 2021-22, meaning the majority of total receipts were allocated to administration expenses.</w:t>
      </w:r>
    </w:p>
    <w:p w14:paraId="6052A9D7" w14:textId="77777777" w:rsidR="00F92D87" w:rsidRDefault="00F92D87">
      <w:pPr>
        <w:pStyle w:val="BodyText"/>
      </w:pPr>
    </w:p>
    <w:p w14:paraId="42E24462" w14:textId="7C47F501" w:rsidR="004C3088" w:rsidRDefault="00F92D87">
      <w:pPr>
        <w:pStyle w:val="BodyText"/>
      </w:pPr>
      <w:r w:rsidRPr="00F92D87">
        <w:t>Table 6: Summary of statistics on distribution of funds for protected trust deeds concluded by financial year</w:t>
      </w:r>
    </w:p>
    <w:tbl>
      <w:tblPr>
        <w:tblW w:w="5000" w:type="pct"/>
        <w:jc w:val="center"/>
        <w:tblLook w:val="04A0" w:firstRow="1" w:lastRow="0" w:firstColumn="1" w:lastColumn="0" w:noHBand="0" w:noVBand="1"/>
      </w:tblPr>
      <w:tblGrid>
        <w:gridCol w:w="1878"/>
        <w:gridCol w:w="1302"/>
        <w:gridCol w:w="1302"/>
        <w:gridCol w:w="1302"/>
        <w:gridCol w:w="1302"/>
        <w:gridCol w:w="1303"/>
        <w:gridCol w:w="971"/>
      </w:tblGrid>
      <w:tr w:rsidR="004C3088" w:rsidRPr="00F92D87" w14:paraId="5F9CAF1D" w14:textId="77777777" w:rsidTr="00F92D87">
        <w:trPr>
          <w:cantSplit/>
          <w:trHeight w:val="1345"/>
          <w:tblHeader/>
          <w:jc w:val="center"/>
        </w:trPr>
        <w:tc>
          <w:tcPr>
            <w:tcW w:w="1004" w:type="pct"/>
            <w:tcBorders>
              <w:bottom w:val="single" w:sz="8" w:space="0" w:color="BEBEBE"/>
            </w:tcBorders>
            <w:shd w:val="clear" w:color="auto" w:fill="FFFFFF"/>
            <w:tcMar>
              <w:top w:w="0" w:type="dxa"/>
              <w:left w:w="0" w:type="dxa"/>
              <w:bottom w:w="0" w:type="dxa"/>
              <w:right w:w="0" w:type="dxa"/>
            </w:tcMar>
            <w:vAlign w:val="center"/>
          </w:tcPr>
          <w:p w14:paraId="7D662F47"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Financial year of the trustee discharge date</w:t>
            </w:r>
          </w:p>
        </w:tc>
        <w:tc>
          <w:tcPr>
            <w:tcW w:w="696" w:type="pct"/>
            <w:tcBorders>
              <w:bottom w:val="single" w:sz="8" w:space="0" w:color="BEBEBE"/>
            </w:tcBorders>
            <w:shd w:val="clear" w:color="auto" w:fill="FFFFFF"/>
            <w:tcMar>
              <w:top w:w="0" w:type="dxa"/>
              <w:left w:w="0" w:type="dxa"/>
              <w:bottom w:w="0" w:type="dxa"/>
              <w:right w:w="0" w:type="dxa"/>
            </w:tcMar>
            <w:vAlign w:val="center"/>
          </w:tcPr>
          <w:p w14:paraId="5430A22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2018-19</w:t>
            </w:r>
          </w:p>
        </w:tc>
        <w:tc>
          <w:tcPr>
            <w:tcW w:w="696" w:type="pct"/>
            <w:tcBorders>
              <w:bottom w:val="single" w:sz="8" w:space="0" w:color="BEBEBE"/>
            </w:tcBorders>
            <w:shd w:val="clear" w:color="auto" w:fill="FFFFFF"/>
            <w:tcMar>
              <w:top w:w="0" w:type="dxa"/>
              <w:left w:w="0" w:type="dxa"/>
              <w:bottom w:w="0" w:type="dxa"/>
              <w:right w:w="0" w:type="dxa"/>
            </w:tcMar>
            <w:vAlign w:val="center"/>
          </w:tcPr>
          <w:p w14:paraId="68CA0A5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2019-20</w:t>
            </w:r>
          </w:p>
        </w:tc>
        <w:tc>
          <w:tcPr>
            <w:tcW w:w="696" w:type="pct"/>
            <w:tcBorders>
              <w:bottom w:val="single" w:sz="8" w:space="0" w:color="BEBEBE"/>
            </w:tcBorders>
            <w:shd w:val="clear" w:color="auto" w:fill="FFFFFF"/>
            <w:tcMar>
              <w:top w:w="0" w:type="dxa"/>
              <w:left w:w="0" w:type="dxa"/>
              <w:bottom w:w="0" w:type="dxa"/>
              <w:right w:w="0" w:type="dxa"/>
            </w:tcMar>
            <w:vAlign w:val="center"/>
          </w:tcPr>
          <w:p w14:paraId="29FB605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2020-21</w:t>
            </w:r>
          </w:p>
        </w:tc>
        <w:tc>
          <w:tcPr>
            <w:tcW w:w="696" w:type="pct"/>
            <w:tcBorders>
              <w:bottom w:val="single" w:sz="8" w:space="0" w:color="BEBEBE"/>
            </w:tcBorders>
            <w:shd w:val="clear" w:color="auto" w:fill="FFFFFF"/>
            <w:tcMar>
              <w:top w:w="0" w:type="dxa"/>
              <w:left w:w="0" w:type="dxa"/>
              <w:bottom w:w="0" w:type="dxa"/>
              <w:right w:w="0" w:type="dxa"/>
            </w:tcMar>
            <w:vAlign w:val="center"/>
          </w:tcPr>
          <w:p w14:paraId="2BAC581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2021-22</w:t>
            </w:r>
          </w:p>
        </w:tc>
        <w:tc>
          <w:tcPr>
            <w:tcW w:w="696" w:type="pct"/>
            <w:tcBorders>
              <w:bottom w:val="single" w:sz="8" w:space="0" w:color="BEBEBE"/>
            </w:tcBorders>
            <w:shd w:val="clear" w:color="auto" w:fill="FFFFFF"/>
            <w:tcMar>
              <w:top w:w="0" w:type="dxa"/>
              <w:left w:w="0" w:type="dxa"/>
              <w:bottom w:w="0" w:type="dxa"/>
              <w:right w:w="0" w:type="dxa"/>
            </w:tcMar>
            <w:vAlign w:val="center"/>
          </w:tcPr>
          <w:p w14:paraId="0DBCBD8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2022-23</w:t>
            </w:r>
          </w:p>
        </w:tc>
        <w:tc>
          <w:tcPr>
            <w:tcW w:w="519" w:type="pct"/>
            <w:tcBorders>
              <w:bottom w:val="single" w:sz="8" w:space="0" w:color="BEBEBE"/>
            </w:tcBorders>
            <w:shd w:val="clear" w:color="auto" w:fill="FFFFFF"/>
            <w:tcMar>
              <w:top w:w="0" w:type="dxa"/>
              <w:left w:w="0" w:type="dxa"/>
              <w:bottom w:w="0" w:type="dxa"/>
              <w:right w:w="0" w:type="dxa"/>
            </w:tcMar>
            <w:vAlign w:val="center"/>
          </w:tcPr>
          <w:p w14:paraId="1CBED27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Annual change (%)</w:t>
            </w:r>
          </w:p>
        </w:tc>
      </w:tr>
      <w:tr w:rsidR="004C3088" w:rsidRPr="00F92D87" w14:paraId="59029E49" w14:textId="77777777" w:rsidTr="00F92D87">
        <w:trPr>
          <w:cantSplit/>
          <w:trHeight w:val="993"/>
          <w:jc w:val="center"/>
        </w:trPr>
        <w:tc>
          <w:tcPr>
            <w:tcW w:w="1004" w:type="pct"/>
            <w:shd w:val="clear" w:color="auto" w:fill="FFFFFF"/>
            <w:tcMar>
              <w:top w:w="0" w:type="dxa"/>
              <w:left w:w="0" w:type="dxa"/>
              <w:bottom w:w="0" w:type="dxa"/>
              <w:right w:w="0" w:type="dxa"/>
            </w:tcMar>
            <w:vAlign w:val="center"/>
          </w:tcPr>
          <w:p w14:paraId="18F6D8DC"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Mean dividends for all cases (pence in the £)</w:t>
            </w:r>
          </w:p>
        </w:tc>
        <w:tc>
          <w:tcPr>
            <w:tcW w:w="696" w:type="pct"/>
            <w:shd w:val="clear" w:color="auto" w:fill="FFFFFF"/>
            <w:tcMar>
              <w:top w:w="0" w:type="dxa"/>
              <w:left w:w="0" w:type="dxa"/>
              <w:bottom w:w="0" w:type="dxa"/>
              <w:right w:w="0" w:type="dxa"/>
            </w:tcMar>
            <w:vAlign w:val="center"/>
          </w:tcPr>
          <w:p w14:paraId="50EA23E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15.2</w:t>
            </w:r>
          </w:p>
        </w:tc>
        <w:tc>
          <w:tcPr>
            <w:tcW w:w="696" w:type="pct"/>
            <w:shd w:val="clear" w:color="auto" w:fill="FFFFFF"/>
            <w:tcMar>
              <w:top w:w="0" w:type="dxa"/>
              <w:left w:w="0" w:type="dxa"/>
              <w:bottom w:w="0" w:type="dxa"/>
              <w:right w:w="0" w:type="dxa"/>
            </w:tcMar>
            <w:vAlign w:val="center"/>
          </w:tcPr>
          <w:p w14:paraId="4170F0D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14.9</w:t>
            </w:r>
          </w:p>
        </w:tc>
        <w:tc>
          <w:tcPr>
            <w:tcW w:w="696" w:type="pct"/>
            <w:shd w:val="clear" w:color="auto" w:fill="FFFFFF"/>
            <w:tcMar>
              <w:top w:w="0" w:type="dxa"/>
              <w:left w:w="0" w:type="dxa"/>
              <w:bottom w:w="0" w:type="dxa"/>
              <w:right w:w="0" w:type="dxa"/>
            </w:tcMar>
            <w:vAlign w:val="center"/>
          </w:tcPr>
          <w:p w14:paraId="24D38B3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14.2</w:t>
            </w:r>
          </w:p>
        </w:tc>
        <w:tc>
          <w:tcPr>
            <w:tcW w:w="696" w:type="pct"/>
            <w:shd w:val="clear" w:color="auto" w:fill="FFFFFF"/>
            <w:tcMar>
              <w:top w:w="0" w:type="dxa"/>
              <w:left w:w="0" w:type="dxa"/>
              <w:bottom w:w="0" w:type="dxa"/>
              <w:right w:w="0" w:type="dxa"/>
            </w:tcMar>
            <w:vAlign w:val="center"/>
          </w:tcPr>
          <w:p w14:paraId="628FCE0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16.0</w:t>
            </w:r>
          </w:p>
        </w:tc>
        <w:tc>
          <w:tcPr>
            <w:tcW w:w="696" w:type="pct"/>
            <w:shd w:val="clear" w:color="auto" w:fill="FFFFFF"/>
            <w:tcMar>
              <w:top w:w="0" w:type="dxa"/>
              <w:left w:w="0" w:type="dxa"/>
              <w:bottom w:w="0" w:type="dxa"/>
              <w:right w:w="0" w:type="dxa"/>
            </w:tcMar>
            <w:vAlign w:val="center"/>
          </w:tcPr>
          <w:p w14:paraId="41DF228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15.8</w:t>
            </w:r>
          </w:p>
        </w:tc>
        <w:tc>
          <w:tcPr>
            <w:tcW w:w="519" w:type="pct"/>
            <w:shd w:val="clear" w:color="auto" w:fill="FFFFFF"/>
            <w:tcMar>
              <w:top w:w="0" w:type="dxa"/>
              <w:left w:w="0" w:type="dxa"/>
              <w:bottom w:w="0" w:type="dxa"/>
              <w:right w:w="0" w:type="dxa"/>
            </w:tcMar>
            <w:vAlign w:val="center"/>
          </w:tcPr>
          <w:p w14:paraId="283D76C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[z]</w:t>
            </w:r>
          </w:p>
        </w:tc>
      </w:tr>
      <w:tr w:rsidR="004C3088" w:rsidRPr="00F92D87" w14:paraId="4A9FCB6C" w14:textId="77777777" w:rsidTr="00F92D87">
        <w:trPr>
          <w:cantSplit/>
          <w:trHeight w:val="1000"/>
          <w:jc w:val="center"/>
        </w:trPr>
        <w:tc>
          <w:tcPr>
            <w:tcW w:w="1004" w:type="pct"/>
            <w:shd w:val="clear" w:color="auto" w:fill="FFFFFF"/>
            <w:tcMar>
              <w:top w:w="0" w:type="dxa"/>
              <w:left w:w="0" w:type="dxa"/>
              <w:bottom w:w="0" w:type="dxa"/>
              <w:right w:w="0" w:type="dxa"/>
            </w:tcMar>
            <w:vAlign w:val="center"/>
          </w:tcPr>
          <w:p w14:paraId="547F493C"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Mean administration expenses (£)</w:t>
            </w:r>
          </w:p>
        </w:tc>
        <w:tc>
          <w:tcPr>
            <w:tcW w:w="696" w:type="pct"/>
            <w:shd w:val="clear" w:color="auto" w:fill="FFFFFF"/>
            <w:tcMar>
              <w:top w:w="0" w:type="dxa"/>
              <w:left w:w="0" w:type="dxa"/>
              <w:bottom w:w="0" w:type="dxa"/>
              <w:right w:w="0" w:type="dxa"/>
            </w:tcMar>
            <w:vAlign w:val="center"/>
          </w:tcPr>
          <w:p w14:paraId="3229602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6,100</w:t>
            </w:r>
          </w:p>
        </w:tc>
        <w:tc>
          <w:tcPr>
            <w:tcW w:w="696" w:type="pct"/>
            <w:shd w:val="clear" w:color="auto" w:fill="FFFFFF"/>
            <w:tcMar>
              <w:top w:w="0" w:type="dxa"/>
              <w:left w:w="0" w:type="dxa"/>
              <w:bottom w:w="0" w:type="dxa"/>
              <w:right w:w="0" w:type="dxa"/>
            </w:tcMar>
            <w:vAlign w:val="center"/>
          </w:tcPr>
          <w:p w14:paraId="785AC4C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5,500</w:t>
            </w:r>
          </w:p>
        </w:tc>
        <w:tc>
          <w:tcPr>
            <w:tcW w:w="696" w:type="pct"/>
            <w:shd w:val="clear" w:color="auto" w:fill="FFFFFF"/>
            <w:tcMar>
              <w:top w:w="0" w:type="dxa"/>
              <w:left w:w="0" w:type="dxa"/>
              <w:bottom w:w="0" w:type="dxa"/>
              <w:right w:w="0" w:type="dxa"/>
            </w:tcMar>
            <w:vAlign w:val="center"/>
          </w:tcPr>
          <w:p w14:paraId="4D3D10B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4,900</w:t>
            </w:r>
          </w:p>
        </w:tc>
        <w:tc>
          <w:tcPr>
            <w:tcW w:w="696" w:type="pct"/>
            <w:shd w:val="clear" w:color="auto" w:fill="FFFFFF"/>
            <w:tcMar>
              <w:top w:w="0" w:type="dxa"/>
              <w:left w:w="0" w:type="dxa"/>
              <w:bottom w:w="0" w:type="dxa"/>
              <w:right w:w="0" w:type="dxa"/>
            </w:tcMar>
            <w:vAlign w:val="center"/>
          </w:tcPr>
          <w:p w14:paraId="3AB71C5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5,600</w:t>
            </w:r>
          </w:p>
        </w:tc>
        <w:tc>
          <w:tcPr>
            <w:tcW w:w="696" w:type="pct"/>
            <w:shd w:val="clear" w:color="auto" w:fill="FFFFFF"/>
            <w:tcMar>
              <w:top w:w="0" w:type="dxa"/>
              <w:left w:w="0" w:type="dxa"/>
              <w:bottom w:w="0" w:type="dxa"/>
              <w:right w:w="0" w:type="dxa"/>
            </w:tcMar>
            <w:vAlign w:val="center"/>
          </w:tcPr>
          <w:p w14:paraId="1DC60F1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5,200</w:t>
            </w:r>
          </w:p>
        </w:tc>
        <w:tc>
          <w:tcPr>
            <w:tcW w:w="519" w:type="pct"/>
            <w:shd w:val="clear" w:color="auto" w:fill="FFFFFF"/>
            <w:tcMar>
              <w:top w:w="0" w:type="dxa"/>
              <w:left w:w="0" w:type="dxa"/>
              <w:bottom w:w="0" w:type="dxa"/>
              <w:right w:w="0" w:type="dxa"/>
            </w:tcMar>
            <w:vAlign w:val="center"/>
          </w:tcPr>
          <w:p w14:paraId="523EB48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-7.1%</w:t>
            </w:r>
          </w:p>
        </w:tc>
      </w:tr>
      <w:tr w:rsidR="004C3088" w:rsidRPr="00F92D87" w14:paraId="56886AAC" w14:textId="77777777" w:rsidTr="00F92D87">
        <w:trPr>
          <w:cantSplit/>
          <w:trHeight w:val="1345"/>
          <w:jc w:val="center"/>
        </w:trPr>
        <w:tc>
          <w:tcPr>
            <w:tcW w:w="1004" w:type="pct"/>
            <w:shd w:val="clear" w:color="auto" w:fill="FFFFFF"/>
            <w:tcMar>
              <w:top w:w="0" w:type="dxa"/>
              <w:left w:w="0" w:type="dxa"/>
              <w:bottom w:w="0" w:type="dxa"/>
              <w:right w:w="0" w:type="dxa"/>
            </w:tcMar>
            <w:vAlign w:val="center"/>
          </w:tcPr>
          <w:p w14:paraId="6F4BD329"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Dividend payable to ordinary creditors</w:t>
            </w:r>
          </w:p>
        </w:tc>
        <w:tc>
          <w:tcPr>
            <w:tcW w:w="696" w:type="pct"/>
            <w:shd w:val="clear" w:color="auto" w:fill="FFFFFF"/>
            <w:tcMar>
              <w:top w:w="0" w:type="dxa"/>
              <w:left w:w="0" w:type="dxa"/>
              <w:bottom w:w="0" w:type="dxa"/>
              <w:right w:w="0" w:type="dxa"/>
            </w:tcMar>
            <w:vAlign w:val="center"/>
          </w:tcPr>
          <w:p w14:paraId="4AF0BF6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7,200</w:t>
            </w:r>
          </w:p>
        </w:tc>
        <w:tc>
          <w:tcPr>
            <w:tcW w:w="696" w:type="pct"/>
            <w:shd w:val="clear" w:color="auto" w:fill="FFFFFF"/>
            <w:tcMar>
              <w:top w:w="0" w:type="dxa"/>
              <w:left w:w="0" w:type="dxa"/>
              <w:bottom w:w="0" w:type="dxa"/>
              <w:right w:w="0" w:type="dxa"/>
            </w:tcMar>
            <w:vAlign w:val="center"/>
          </w:tcPr>
          <w:p w14:paraId="10ECE2C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6,800</w:t>
            </w:r>
          </w:p>
        </w:tc>
        <w:tc>
          <w:tcPr>
            <w:tcW w:w="696" w:type="pct"/>
            <w:shd w:val="clear" w:color="auto" w:fill="FFFFFF"/>
            <w:tcMar>
              <w:top w:w="0" w:type="dxa"/>
              <w:left w:w="0" w:type="dxa"/>
              <w:bottom w:w="0" w:type="dxa"/>
              <w:right w:w="0" w:type="dxa"/>
            </w:tcMar>
            <w:vAlign w:val="center"/>
          </w:tcPr>
          <w:p w14:paraId="6AC419B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6,900</w:t>
            </w:r>
          </w:p>
        </w:tc>
        <w:tc>
          <w:tcPr>
            <w:tcW w:w="696" w:type="pct"/>
            <w:shd w:val="clear" w:color="auto" w:fill="FFFFFF"/>
            <w:tcMar>
              <w:top w:w="0" w:type="dxa"/>
              <w:left w:w="0" w:type="dxa"/>
              <w:bottom w:w="0" w:type="dxa"/>
              <w:right w:w="0" w:type="dxa"/>
            </w:tcMar>
            <w:vAlign w:val="center"/>
          </w:tcPr>
          <w:p w14:paraId="001BA19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6,200</w:t>
            </w:r>
          </w:p>
        </w:tc>
        <w:tc>
          <w:tcPr>
            <w:tcW w:w="696" w:type="pct"/>
            <w:shd w:val="clear" w:color="auto" w:fill="FFFFFF"/>
            <w:tcMar>
              <w:top w:w="0" w:type="dxa"/>
              <w:left w:w="0" w:type="dxa"/>
              <w:bottom w:w="0" w:type="dxa"/>
              <w:right w:w="0" w:type="dxa"/>
            </w:tcMar>
            <w:vAlign w:val="center"/>
          </w:tcPr>
          <w:p w14:paraId="3F13713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6,100</w:t>
            </w:r>
          </w:p>
        </w:tc>
        <w:tc>
          <w:tcPr>
            <w:tcW w:w="519" w:type="pct"/>
            <w:shd w:val="clear" w:color="auto" w:fill="FFFFFF"/>
            <w:tcMar>
              <w:top w:w="0" w:type="dxa"/>
              <w:left w:w="0" w:type="dxa"/>
              <w:bottom w:w="0" w:type="dxa"/>
              <w:right w:w="0" w:type="dxa"/>
            </w:tcMar>
            <w:vAlign w:val="center"/>
          </w:tcPr>
          <w:p w14:paraId="67EBA79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w:t>
            </w:r>
          </w:p>
        </w:tc>
      </w:tr>
      <w:tr w:rsidR="004C3088" w:rsidRPr="00F92D87" w14:paraId="34877245" w14:textId="77777777" w:rsidTr="00F92D87">
        <w:trPr>
          <w:cantSplit/>
          <w:trHeight w:val="1189"/>
          <w:jc w:val="center"/>
        </w:trPr>
        <w:tc>
          <w:tcPr>
            <w:tcW w:w="1004" w:type="pct"/>
            <w:shd w:val="clear" w:color="auto" w:fill="FFFFFF"/>
            <w:tcMar>
              <w:top w:w="0" w:type="dxa"/>
              <w:left w:w="0" w:type="dxa"/>
              <w:bottom w:w="0" w:type="dxa"/>
              <w:right w:w="0" w:type="dxa"/>
            </w:tcMar>
            <w:vAlign w:val="center"/>
          </w:tcPr>
          <w:p w14:paraId="4A713222"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No dividend payable to ordinary creditors</w:t>
            </w:r>
          </w:p>
        </w:tc>
        <w:tc>
          <w:tcPr>
            <w:tcW w:w="696" w:type="pct"/>
            <w:shd w:val="clear" w:color="auto" w:fill="FFFFFF"/>
            <w:tcMar>
              <w:top w:w="0" w:type="dxa"/>
              <w:left w:w="0" w:type="dxa"/>
              <w:bottom w:w="0" w:type="dxa"/>
              <w:right w:w="0" w:type="dxa"/>
            </w:tcMar>
            <w:vAlign w:val="center"/>
          </w:tcPr>
          <w:p w14:paraId="739D208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2,700</w:t>
            </w:r>
          </w:p>
        </w:tc>
        <w:tc>
          <w:tcPr>
            <w:tcW w:w="696" w:type="pct"/>
            <w:shd w:val="clear" w:color="auto" w:fill="FFFFFF"/>
            <w:tcMar>
              <w:top w:w="0" w:type="dxa"/>
              <w:left w:w="0" w:type="dxa"/>
              <w:bottom w:w="0" w:type="dxa"/>
              <w:right w:w="0" w:type="dxa"/>
            </w:tcMar>
            <w:vAlign w:val="center"/>
          </w:tcPr>
          <w:p w14:paraId="6DF60DF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2,400</w:t>
            </w:r>
          </w:p>
        </w:tc>
        <w:tc>
          <w:tcPr>
            <w:tcW w:w="696" w:type="pct"/>
            <w:shd w:val="clear" w:color="auto" w:fill="FFFFFF"/>
            <w:tcMar>
              <w:top w:w="0" w:type="dxa"/>
              <w:left w:w="0" w:type="dxa"/>
              <w:bottom w:w="0" w:type="dxa"/>
              <w:right w:w="0" w:type="dxa"/>
            </w:tcMar>
            <w:vAlign w:val="center"/>
          </w:tcPr>
          <w:p w14:paraId="1382DA0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1,900</w:t>
            </w:r>
          </w:p>
        </w:tc>
        <w:tc>
          <w:tcPr>
            <w:tcW w:w="696" w:type="pct"/>
            <w:shd w:val="clear" w:color="auto" w:fill="FFFFFF"/>
            <w:tcMar>
              <w:top w:w="0" w:type="dxa"/>
              <w:left w:w="0" w:type="dxa"/>
              <w:bottom w:w="0" w:type="dxa"/>
              <w:right w:w="0" w:type="dxa"/>
            </w:tcMar>
            <w:vAlign w:val="center"/>
          </w:tcPr>
          <w:p w14:paraId="1DF23C6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2,400</w:t>
            </w:r>
          </w:p>
        </w:tc>
        <w:tc>
          <w:tcPr>
            <w:tcW w:w="696" w:type="pct"/>
            <w:shd w:val="clear" w:color="auto" w:fill="FFFFFF"/>
            <w:tcMar>
              <w:top w:w="0" w:type="dxa"/>
              <w:left w:w="0" w:type="dxa"/>
              <w:bottom w:w="0" w:type="dxa"/>
              <w:right w:w="0" w:type="dxa"/>
            </w:tcMar>
            <w:vAlign w:val="center"/>
          </w:tcPr>
          <w:p w14:paraId="7103B4F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2,400</w:t>
            </w:r>
          </w:p>
        </w:tc>
        <w:tc>
          <w:tcPr>
            <w:tcW w:w="519" w:type="pct"/>
            <w:shd w:val="clear" w:color="auto" w:fill="FFFFFF"/>
            <w:tcMar>
              <w:top w:w="0" w:type="dxa"/>
              <w:left w:w="0" w:type="dxa"/>
              <w:bottom w:w="0" w:type="dxa"/>
              <w:right w:w="0" w:type="dxa"/>
            </w:tcMar>
            <w:vAlign w:val="center"/>
          </w:tcPr>
          <w:p w14:paraId="36429CD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0.0%</w:t>
            </w:r>
          </w:p>
        </w:tc>
      </w:tr>
      <w:tr w:rsidR="004C3088" w:rsidRPr="00F92D87" w14:paraId="384CC9D0" w14:textId="77777777" w:rsidTr="00F92D87">
        <w:trPr>
          <w:cantSplit/>
          <w:trHeight w:val="1135"/>
          <w:jc w:val="center"/>
        </w:trPr>
        <w:tc>
          <w:tcPr>
            <w:tcW w:w="1004" w:type="pct"/>
            <w:shd w:val="clear" w:color="auto" w:fill="FFFFFF"/>
            <w:tcMar>
              <w:top w:w="0" w:type="dxa"/>
              <w:left w:w="0" w:type="dxa"/>
              <w:bottom w:w="0" w:type="dxa"/>
              <w:right w:w="0" w:type="dxa"/>
            </w:tcMar>
            <w:vAlign w:val="center"/>
          </w:tcPr>
          <w:p w14:paraId="4B378134"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Total administration expenses (£)</w:t>
            </w:r>
          </w:p>
        </w:tc>
        <w:tc>
          <w:tcPr>
            <w:tcW w:w="696" w:type="pct"/>
            <w:shd w:val="clear" w:color="auto" w:fill="FFFFFF"/>
            <w:tcMar>
              <w:top w:w="0" w:type="dxa"/>
              <w:left w:w="0" w:type="dxa"/>
              <w:bottom w:w="0" w:type="dxa"/>
              <w:right w:w="0" w:type="dxa"/>
            </w:tcMar>
            <w:vAlign w:val="center"/>
          </w:tcPr>
          <w:p w14:paraId="2B64945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48,242,000</w:t>
            </w:r>
          </w:p>
        </w:tc>
        <w:tc>
          <w:tcPr>
            <w:tcW w:w="696" w:type="pct"/>
            <w:shd w:val="clear" w:color="auto" w:fill="FFFFFF"/>
            <w:tcMar>
              <w:top w:w="0" w:type="dxa"/>
              <w:left w:w="0" w:type="dxa"/>
              <w:bottom w:w="0" w:type="dxa"/>
              <w:right w:w="0" w:type="dxa"/>
            </w:tcMar>
            <w:vAlign w:val="center"/>
          </w:tcPr>
          <w:p w14:paraId="4C9A948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26,318,000</w:t>
            </w:r>
          </w:p>
        </w:tc>
        <w:tc>
          <w:tcPr>
            <w:tcW w:w="696" w:type="pct"/>
            <w:shd w:val="clear" w:color="auto" w:fill="FFFFFF"/>
            <w:tcMar>
              <w:top w:w="0" w:type="dxa"/>
              <w:left w:w="0" w:type="dxa"/>
              <w:bottom w:w="0" w:type="dxa"/>
              <w:right w:w="0" w:type="dxa"/>
            </w:tcMar>
            <w:vAlign w:val="center"/>
          </w:tcPr>
          <w:p w14:paraId="61410C9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12,418,000</w:t>
            </w:r>
          </w:p>
        </w:tc>
        <w:tc>
          <w:tcPr>
            <w:tcW w:w="696" w:type="pct"/>
            <w:shd w:val="clear" w:color="auto" w:fill="FFFFFF"/>
            <w:tcMar>
              <w:top w:w="0" w:type="dxa"/>
              <w:left w:w="0" w:type="dxa"/>
              <w:bottom w:w="0" w:type="dxa"/>
              <w:right w:w="0" w:type="dxa"/>
            </w:tcMar>
            <w:vAlign w:val="center"/>
          </w:tcPr>
          <w:p w14:paraId="178C8E8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34,588,000</w:t>
            </w:r>
          </w:p>
        </w:tc>
        <w:tc>
          <w:tcPr>
            <w:tcW w:w="696" w:type="pct"/>
            <w:shd w:val="clear" w:color="auto" w:fill="FFFFFF"/>
            <w:tcMar>
              <w:top w:w="0" w:type="dxa"/>
              <w:left w:w="0" w:type="dxa"/>
              <w:bottom w:w="0" w:type="dxa"/>
              <w:right w:w="0" w:type="dxa"/>
            </w:tcMar>
            <w:vAlign w:val="center"/>
          </w:tcPr>
          <w:p w14:paraId="064518E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36,773,000</w:t>
            </w:r>
          </w:p>
        </w:tc>
        <w:tc>
          <w:tcPr>
            <w:tcW w:w="519" w:type="pct"/>
            <w:shd w:val="clear" w:color="auto" w:fill="FFFFFF"/>
            <w:tcMar>
              <w:top w:w="0" w:type="dxa"/>
              <w:left w:w="0" w:type="dxa"/>
              <w:bottom w:w="0" w:type="dxa"/>
              <w:right w:w="0" w:type="dxa"/>
            </w:tcMar>
            <w:vAlign w:val="center"/>
          </w:tcPr>
          <w:p w14:paraId="23D833E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6.3%</w:t>
            </w:r>
          </w:p>
        </w:tc>
      </w:tr>
      <w:tr w:rsidR="004C3088" w:rsidRPr="00F92D87" w14:paraId="340A8F75" w14:textId="77777777" w:rsidTr="00F92D87">
        <w:trPr>
          <w:cantSplit/>
          <w:trHeight w:val="1009"/>
          <w:jc w:val="center"/>
        </w:trPr>
        <w:tc>
          <w:tcPr>
            <w:tcW w:w="1004" w:type="pct"/>
            <w:shd w:val="clear" w:color="auto" w:fill="FFFFFF"/>
            <w:tcMar>
              <w:top w:w="0" w:type="dxa"/>
              <w:left w:w="0" w:type="dxa"/>
              <w:bottom w:w="0" w:type="dxa"/>
              <w:right w:w="0" w:type="dxa"/>
            </w:tcMar>
            <w:vAlign w:val="center"/>
          </w:tcPr>
          <w:p w14:paraId="74E70BAC"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Dividend payable to ordinary creditors</w:t>
            </w:r>
          </w:p>
        </w:tc>
        <w:tc>
          <w:tcPr>
            <w:tcW w:w="696" w:type="pct"/>
            <w:shd w:val="clear" w:color="auto" w:fill="FFFFFF"/>
            <w:tcMar>
              <w:top w:w="0" w:type="dxa"/>
              <w:left w:w="0" w:type="dxa"/>
              <w:bottom w:w="0" w:type="dxa"/>
              <w:right w:w="0" w:type="dxa"/>
            </w:tcMar>
            <w:vAlign w:val="center"/>
          </w:tcPr>
          <w:p w14:paraId="5EB7C0E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43,177,000</w:t>
            </w:r>
          </w:p>
        </w:tc>
        <w:tc>
          <w:tcPr>
            <w:tcW w:w="696" w:type="pct"/>
            <w:shd w:val="clear" w:color="auto" w:fill="FFFFFF"/>
            <w:tcMar>
              <w:top w:w="0" w:type="dxa"/>
              <w:left w:w="0" w:type="dxa"/>
              <w:bottom w:w="0" w:type="dxa"/>
              <w:right w:w="0" w:type="dxa"/>
            </w:tcMar>
            <w:vAlign w:val="center"/>
          </w:tcPr>
          <w:p w14:paraId="4A6FCAF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23,030,000</w:t>
            </w:r>
          </w:p>
        </w:tc>
        <w:tc>
          <w:tcPr>
            <w:tcW w:w="696" w:type="pct"/>
            <w:shd w:val="clear" w:color="auto" w:fill="FFFFFF"/>
            <w:tcMar>
              <w:top w:w="0" w:type="dxa"/>
              <w:left w:w="0" w:type="dxa"/>
              <w:bottom w:w="0" w:type="dxa"/>
              <w:right w:w="0" w:type="dxa"/>
            </w:tcMar>
            <w:vAlign w:val="center"/>
          </w:tcPr>
          <w:p w14:paraId="3DCA1AE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10,490,000</w:t>
            </w:r>
          </w:p>
        </w:tc>
        <w:tc>
          <w:tcPr>
            <w:tcW w:w="696" w:type="pct"/>
            <w:shd w:val="clear" w:color="auto" w:fill="FFFFFF"/>
            <w:tcMar>
              <w:top w:w="0" w:type="dxa"/>
              <w:left w:w="0" w:type="dxa"/>
              <w:bottom w:w="0" w:type="dxa"/>
              <w:right w:w="0" w:type="dxa"/>
            </w:tcMar>
            <w:vAlign w:val="center"/>
          </w:tcPr>
          <w:p w14:paraId="0D77F4F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32,292,000</w:t>
            </w:r>
          </w:p>
        </w:tc>
        <w:tc>
          <w:tcPr>
            <w:tcW w:w="696" w:type="pct"/>
            <w:shd w:val="clear" w:color="auto" w:fill="FFFFFF"/>
            <w:tcMar>
              <w:top w:w="0" w:type="dxa"/>
              <w:left w:w="0" w:type="dxa"/>
              <w:bottom w:w="0" w:type="dxa"/>
              <w:right w:w="0" w:type="dxa"/>
            </w:tcMar>
            <w:vAlign w:val="center"/>
          </w:tcPr>
          <w:p w14:paraId="4DFCFBF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32,861,000</w:t>
            </w:r>
          </w:p>
        </w:tc>
        <w:tc>
          <w:tcPr>
            <w:tcW w:w="519" w:type="pct"/>
            <w:shd w:val="clear" w:color="auto" w:fill="FFFFFF"/>
            <w:tcMar>
              <w:top w:w="0" w:type="dxa"/>
              <w:left w:w="0" w:type="dxa"/>
              <w:bottom w:w="0" w:type="dxa"/>
              <w:right w:w="0" w:type="dxa"/>
            </w:tcMar>
            <w:vAlign w:val="center"/>
          </w:tcPr>
          <w:p w14:paraId="7D5B564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1.8%</w:t>
            </w:r>
          </w:p>
        </w:tc>
      </w:tr>
      <w:tr w:rsidR="004C3088" w:rsidRPr="00F92D87" w14:paraId="57C975B0" w14:textId="77777777" w:rsidTr="00F92D87">
        <w:trPr>
          <w:cantSplit/>
          <w:trHeight w:val="1345"/>
          <w:jc w:val="center"/>
        </w:trPr>
        <w:tc>
          <w:tcPr>
            <w:tcW w:w="1004" w:type="pct"/>
            <w:shd w:val="clear" w:color="auto" w:fill="FFFFFF"/>
            <w:tcMar>
              <w:top w:w="0" w:type="dxa"/>
              <w:left w:w="0" w:type="dxa"/>
              <w:bottom w:w="0" w:type="dxa"/>
              <w:right w:w="0" w:type="dxa"/>
            </w:tcMar>
            <w:vAlign w:val="center"/>
          </w:tcPr>
          <w:p w14:paraId="142E3A12"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No dividend payable to ordinary creditors</w:t>
            </w:r>
          </w:p>
        </w:tc>
        <w:tc>
          <w:tcPr>
            <w:tcW w:w="696" w:type="pct"/>
            <w:shd w:val="clear" w:color="auto" w:fill="FFFFFF"/>
            <w:tcMar>
              <w:top w:w="0" w:type="dxa"/>
              <w:left w:w="0" w:type="dxa"/>
              <w:bottom w:w="0" w:type="dxa"/>
              <w:right w:w="0" w:type="dxa"/>
            </w:tcMar>
            <w:vAlign w:val="center"/>
          </w:tcPr>
          <w:p w14:paraId="4C7691B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5,065,000</w:t>
            </w:r>
          </w:p>
        </w:tc>
        <w:tc>
          <w:tcPr>
            <w:tcW w:w="696" w:type="pct"/>
            <w:shd w:val="clear" w:color="auto" w:fill="FFFFFF"/>
            <w:tcMar>
              <w:top w:w="0" w:type="dxa"/>
              <w:left w:w="0" w:type="dxa"/>
              <w:bottom w:w="0" w:type="dxa"/>
              <w:right w:w="0" w:type="dxa"/>
            </w:tcMar>
            <w:vAlign w:val="center"/>
          </w:tcPr>
          <w:p w14:paraId="7BC0F6C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3,288,000</w:t>
            </w:r>
          </w:p>
        </w:tc>
        <w:tc>
          <w:tcPr>
            <w:tcW w:w="696" w:type="pct"/>
            <w:shd w:val="clear" w:color="auto" w:fill="FFFFFF"/>
            <w:tcMar>
              <w:top w:w="0" w:type="dxa"/>
              <w:left w:w="0" w:type="dxa"/>
              <w:bottom w:w="0" w:type="dxa"/>
              <w:right w:w="0" w:type="dxa"/>
            </w:tcMar>
            <w:vAlign w:val="center"/>
          </w:tcPr>
          <w:p w14:paraId="34C79C8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1,928,000</w:t>
            </w:r>
          </w:p>
        </w:tc>
        <w:tc>
          <w:tcPr>
            <w:tcW w:w="696" w:type="pct"/>
            <w:shd w:val="clear" w:color="auto" w:fill="FFFFFF"/>
            <w:tcMar>
              <w:top w:w="0" w:type="dxa"/>
              <w:left w:w="0" w:type="dxa"/>
              <w:bottom w:w="0" w:type="dxa"/>
              <w:right w:w="0" w:type="dxa"/>
            </w:tcMar>
            <w:vAlign w:val="center"/>
          </w:tcPr>
          <w:p w14:paraId="68CC293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2,296,000</w:t>
            </w:r>
          </w:p>
        </w:tc>
        <w:tc>
          <w:tcPr>
            <w:tcW w:w="696" w:type="pct"/>
            <w:shd w:val="clear" w:color="auto" w:fill="FFFFFF"/>
            <w:tcMar>
              <w:top w:w="0" w:type="dxa"/>
              <w:left w:w="0" w:type="dxa"/>
              <w:bottom w:w="0" w:type="dxa"/>
              <w:right w:w="0" w:type="dxa"/>
            </w:tcMar>
            <w:vAlign w:val="center"/>
          </w:tcPr>
          <w:p w14:paraId="7B56758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3,912,000</w:t>
            </w:r>
          </w:p>
        </w:tc>
        <w:tc>
          <w:tcPr>
            <w:tcW w:w="519" w:type="pct"/>
            <w:shd w:val="clear" w:color="auto" w:fill="FFFFFF"/>
            <w:tcMar>
              <w:top w:w="0" w:type="dxa"/>
              <w:left w:w="0" w:type="dxa"/>
              <w:bottom w:w="0" w:type="dxa"/>
              <w:right w:w="0" w:type="dxa"/>
            </w:tcMar>
            <w:vAlign w:val="center"/>
          </w:tcPr>
          <w:p w14:paraId="3EE7A59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70.4%</w:t>
            </w:r>
          </w:p>
        </w:tc>
      </w:tr>
      <w:tr w:rsidR="004C3088" w:rsidRPr="00F92D87" w14:paraId="185DA5DE" w14:textId="77777777" w:rsidTr="00F92D87">
        <w:trPr>
          <w:cantSplit/>
          <w:trHeight w:val="1054"/>
          <w:jc w:val="center"/>
        </w:trPr>
        <w:tc>
          <w:tcPr>
            <w:tcW w:w="1004" w:type="pct"/>
            <w:shd w:val="clear" w:color="auto" w:fill="FFFFFF"/>
            <w:tcMar>
              <w:top w:w="0" w:type="dxa"/>
              <w:left w:w="0" w:type="dxa"/>
              <w:bottom w:w="0" w:type="dxa"/>
              <w:right w:w="0" w:type="dxa"/>
            </w:tcMar>
            <w:vAlign w:val="center"/>
          </w:tcPr>
          <w:p w14:paraId="66B4D23A"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lastRenderedPageBreak/>
              <w:t>Total payable to preferred creditors (£)</w:t>
            </w:r>
          </w:p>
        </w:tc>
        <w:tc>
          <w:tcPr>
            <w:tcW w:w="696" w:type="pct"/>
            <w:shd w:val="clear" w:color="auto" w:fill="FFFFFF"/>
            <w:tcMar>
              <w:top w:w="0" w:type="dxa"/>
              <w:left w:w="0" w:type="dxa"/>
              <w:bottom w:w="0" w:type="dxa"/>
              <w:right w:w="0" w:type="dxa"/>
            </w:tcMar>
            <w:vAlign w:val="center"/>
          </w:tcPr>
          <w:p w14:paraId="41F1ED7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5,000</w:t>
            </w:r>
          </w:p>
        </w:tc>
        <w:tc>
          <w:tcPr>
            <w:tcW w:w="696" w:type="pct"/>
            <w:shd w:val="clear" w:color="auto" w:fill="FFFFFF"/>
            <w:tcMar>
              <w:top w:w="0" w:type="dxa"/>
              <w:left w:w="0" w:type="dxa"/>
              <w:bottom w:w="0" w:type="dxa"/>
              <w:right w:w="0" w:type="dxa"/>
            </w:tcMar>
            <w:vAlign w:val="center"/>
          </w:tcPr>
          <w:p w14:paraId="793095E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8,000</w:t>
            </w:r>
          </w:p>
        </w:tc>
        <w:tc>
          <w:tcPr>
            <w:tcW w:w="696" w:type="pct"/>
            <w:shd w:val="clear" w:color="auto" w:fill="FFFFFF"/>
            <w:tcMar>
              <w:top w:w="0" w:type="dxa"/>
              <w:left w:w="0" w:type="dxa"/>
              <w:bottom w:w="0" w:type="dxa"/>
              <w:right w:w="0" w:type="dxa"/>
            </w:tcMar>
            <w:vAlign w:val="center"/>
          </w:tcPr>
          <w:p w14:paraId="57F368F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1,000</w:t>
            </w:r>
          </w:p>
        </w:tc>
        <w:tc>
          <w:tcPr>
            <w:tcW w:w="696" w:type="pct"/>
            <w:shd w:val="clear" w:color="auto" w:fill="FFFFFF"/>
            <w:tcMar>
              <w:top w:w="0" w:type="dxa"/>
              <w:left w:w="0" w:type="dxa"/>
              <w:bottom w:w="0" w:type="dxa"/>
              <w:right w:w="0" w:type="dxa"/>
            </w:tcMar>
            <w:vAlign w:val="center"/>
          </w:tcPr>
          <w:p w14:paraId="300E2EB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13,000</w:t>
            </w:r>
          </w:p>
        </w:tc>
        <w:tc>
          <w:tcPr>
            <w:tcW w:w="696" w:type="pct"/>
            <w:shd w:val="clear" w:color="auto" w:fill="FFFFFF"/>
            <w:tcMar>
              <w:top w:w="0" w:type="dxa"/>
              <w:left w:w="0" w:type="dxa"/>
              <w:bottom w:w="0" w:type="dxa"/>
              <w:right w:w="0" w:type="dxa"/>
            </w:tcMar>
            <w:vAlign w:val="center"/>
          </w:tcPr>
          <w:p w14:paraId="2B23B0D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1,000</w:t>
            </w:r>
          </w:p>
        </w:tc>
        <w:tc>
          <w:tcPr>
            <w:tcW w:w="519" w:type="pct"/>
            <w:shd w:val="clear" w:color="auto" w:fill="FFFFFF"/>
            <w:tcMar>
              <w:top w:w="0" w:type="dxa"/>
              <w:left w:w="0" w:type="dxa"/>
              <w:bottom w:w="0" w:type="dxa"/>
              <w:right w:w="0" w:type="dxa"/>
            </w:tcMar>
            <w:vAlign w:val="center"/>
          </w:tcPr>
          <w:p w14:paraId="13434FE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[z]</w:t>
            </w:r>
          </w:p>
        </w:tc>
      </w:tr>
      <w:tr w:rsidR="004C3088" w:rsidRPr="00F92D87" w14:paraId="02A59829" w14:textId="77777777" w:rsidTr="00F92D87">
        <w:trPr>
          <w:cantSplit/>
          <w:trHeight w:val="1196"/>
          <w:jc w:val="center"/>
        </w:trPr>
        <w:tc>
          <w:tcPr>
            <w:tcW w:w="1004" w:type="pct"/>
            <w:shd w:val="clear" w:color="auto" w:fill="FFFFFF"/>
            <w:tcMar>
              <w:top w:w="0" w:type="dxa"/>
              <w:left w:w="0" w:type="dxa"/>
              <w:bottom w:w="0" w:type="dxa"/>
              <w:right w:w="0" w:type="dxa"/>
            </w:tcMar>
            <w:vAlign w:val="center"/>
          </w:tcPr>
          <w:p w14:paraId="5BB0F1AA"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Dividend payable to ordinary creditors</w:t>
            </w:r>
          </w:p>
        </w:tc>
        <w:tc>
          <w:tcPr>
            <w:tcW w:w="696" w:type="pct"/>
            <w:shd w:val="clear" w:color="auto" w:fill="FFFFFF"/>
            <w:tcMar>
              <w:top w:w="0" w:type="dxa"/>
              <w:left w:w="0" w:type="dxa"/>
              <w:bottom w:w="0" w:type="dxa"/>
              <w:right w:w="0" w:type="dxa"/>
            </w:tcMar>
            <w:vAlign w:val="center"/>
          </w:tcPr>
          <w:p w14:paraId="2E33F38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2,000</w:t>
            </w:r>
          </w:p>
        </w:tc>
        <w:tc>
          <w:tcPr>
            <w:tcW w:w="696" w:type="pct"/>
            <w:shd w:val="clear" w:color="auto" w:fill="FFFFFF"/>
            <w:tcMar>
              <w:top w:w="0" w:type="dxa"/>
              <w:left w:w="0" w:type="dxa"/>
              <w:bottom w:w="0" w:type="dxa"/>
              <w:right w:w="0" w:type="dxa"/>
            </w:tcMar>
            <w:vAlign w:val="center"/>
          </w:tcPr>
          <w:p w14:paraId="1A135E8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696" w:type="pct"/>
            <w:shd w:val="clear" w:color="auto" w:fill="FFFFFF"/>
            <w:tcMar>
              <w:top w:w="0" w:type="dxa"/>
              <w:left w:w="0" w:type="dxa"/>
              <w:bottom w:w="0" w:type="dxa"/>
              <w:right w:w="0" w:type="dxa"/>
            </w:tcMar>
            <w:vAlign w:val="center"/>
          </w:tcPr>
          <w:p w14:paraId="741E805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1,000</w:t>
            </w:r>
          </w:p>
        </w:tc>
        <w:tc>
          <w:tcPr>
            <w:tcW w:w="696" w:type="pct"/>
            <w:shd w:val="clear" w:color="auto" w:fill="FFFFFF"/>
            <w:tcMar>
              <w:top w:w="0" w:type="dxa"/>
              <w:left w:w="0" w:type="dxa"/>
              <w:bottom w:w="0" w:type="dxa"/>
              <w:right w:w="0" w:type="dxa"/>
            </w:tcMar>
            <w:vAlign w:val="center"/>
          </w:tcPr>
          <w:p w14:paraId="512E69E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696" w:type="pct"/>
            <w:shd w:val="clear" w:color="auto" w:fill="FFFFFF"/>
            <w:tcMar>
              <w:top w:w="0" w:type="dxa"/>
              <w:left w:w="0" w:type="dxa"/>
              <w:bottom w:w="0" w:type="dxa"/>
              <w:right w:w="0" w:type="dxa"/>
            </w:tcMar>
            <w:vAlign w:val="center"/>
          </w:tcPr>
          <w:p w14:paraId="7CA1130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519" w:type="pct"/>
            <w:shd w:val="clear" w:color="auto" w:fill="FFFFFF"/>
            <w:tcMar>
              <w:top w:w="0" w:type="dxa"/>
              <w:left w:w="0" w:type="dxa"/>
              <w:bottom w:w="0" w:type="dxa"/>
              <w:right w:w="0" w:type="dxa"/>
            </w:tcMar>
            <w:vAlign w:val="center"/>
          </w:tcPr>
          <w:p w14:paraId="4A643DD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0DCF16F9" w14:textId="77777777" w:rsidTr="00F92D87">
        <w:trPr>
          <w:cantSplit/>
          <w:trHeight w:val="974"/>
          <w:jc w:val="center"/>
        </w:trPr>
        <w:tc>
          <w:tcPr>
            <w:tcW w:w="1004" w:type="pct"/>
            <w:shd w:val="clear" w:color="auto" w:fill="FFFFFF"/>
            <w:tcMar>
              <w:top w:w="0" w:type="dxa"/>
              <w:left w:w="0" w:type="dxa"/>
              <w:bottom w:w="0" w:type="dxa"/>
              <w:right w:w="0" w:type="dxa"/>
            </w:tcMar>
            <w:vAlign w:val="center"/>
          </w:tcPr>
          <w:p w14:paraId="25CB06B5"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No dividend payable to ordinary creditors</w:t>
            </w:r>
          </w:p>
        </w:tc>
        <w:tc>
          <w:tcPr>
            <w:tcW w:w="696" w:type="pct"/>
            <w:shd w:val="clear" w:color="auto" w:fill="FFFFFF"/>
            <w:tcMar>
              <w:top w:w="0" w:type="dxa"/>
              <w:left w:w="0" w:type="dxa"/>
              <w:bottom w:w="0" w:type="dxa"/>
              <w:right w:w="0" w:type="dxa"/>
            </w:tcMar>
            <w:vAlign w:val="center"/>
          </w:tcPr>
          <w:p w14:paraId="78CD0ED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3,000</w:t>
            </w:r>
          </w:p>
        </w:tc>
        <w:tc>
          <w:tcPr>
            <w:tcW w:w="696" w:type="pct"/>
            <w:shd w:val="clear" w:color="auto" w:fill="FFFFFF"/>
            <w:tcMar>
              <w:top w:w="0" w:type="dxa"/>
              <w:left w:w="0" w:type="dxa"/>
              <w:bottom w:w="0" w:type="dxa"/>
              <w:right w:w="0" w:type="dxa"/>
            </w:tcMar>
            <w:vAlign w:val="center"/>
          </w:tcPr>
          <w:p w14:paraId="6DC0459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8,000</w:t>
            </w:r>
          </w:p>
        </w:tc>
        <w:tc>
          <w:tcPr>
            <w:tcW w:w="696" w:type="pct"/>
            <w:shd w:val="clear" w:color="auto" w:fill="FFFFFF"/>
            <w:tcMar>
              <w:top w:w="0" w:type="dxa"/>
              <w:left w:w="0" w:type="dxa"/>
              <w:bottom w:w="0" w:type="dxa"/>
              <w:right w:w="0" w:type="dxa"/>
            </w:tcMar>
            <w:vAlign w:val="center"/>
          </w:tcPr>
          <w:p w14:paraId="0439D3A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696" w:type="pct"/>
            <w:shd w:val="clear" w:color="auto" w:fill="FFFFFF"/>
            <w:tcMar>
              <w:top w:w="0" w:type="dxa"/>
              <w:left w:w="0" w:type="dxa"/>
              <w:bottom w:w="0" w:type="dxa"/>
              <w:right w:w="0" w:type="dxa"/>
            </w:tcMar>
            <w:vAlign w:val="center"/>
          </w:tcPr>
          <w:p w14:paraId="397A3B0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13,000</w:t>
            </w:r>
          </w:p>
        </w:tc>
        <w:tc>
          <w:tcPr>
            <w:tcW w:w="696" w:type="pct"/>
            <w:shd w:val="clear" w:color="auto" w:fill="FFFFFF"/>
            <w:tcMar>
              <w:top w:w="0" w:type="dxa"/>
              <w:left w:w="0" w:type="dxa"/>
              <w:bottom w:w="0" w:type="dxa"/>
              <w:right w:w="0" w:type="dxa"/>
            </w:tcMar>
            <w:vAlign w:val="center"/>
          </w:tcPr>
          <w:p w14:paraId="2137A20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1,000</w:t>
            </w:r>
          </w:p>
        </w:tc>
        <w:tc>
          <w:tcPr>
            <w:tcW w:w="519" w:type="pct"/>
            <w:shd w:val="clear" w:color="auto" w:fill="FFFFFF"/>
            <w:tcMar>
              <w:top w:w="0" w:type="dxa"/>
              <w:left w:w="0" w:type="dxa"/>
              <w:bottom w:w="0" w:type="dxa"/>
              <w:right w:w="0" w:type="dxa"/>
            </w:tcMar>
            <w:vAlign w:val="center"/>
          </w:tcPr>
          <w:p w14:paraId="6E4FFDF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68C7C30E" w14:textId="77777777" w:rsidTr="00F92D87">
        <w:trPr>
          <w:cantSplit/>
          <w:trHeight w:val="1004"/>
          <w:jc w:val="center"/>
        </w:trPr>
        <w:tc>
          <w:tcPr>
            <w:tcW w:w="1004" w:type="pct"/>
            <w:shd w:val="clear" w:color="auto" w:fill="FFFFFF"/>
            <w:tcMar>
              <w:top w:w="0" w:type="dxa"/>
              <w:left w:w="0" w:type="dxa"/>
              <w:bottom w:w="0" w:type="dxa"/>
              <w:right w:w="0" w:type="dxa"/>
            </w:tcMar>
            <w:vAlign w:val="center"/>
          </w:tcPr>
          <w:p w14:paraId="5CB0F5F1"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Total payable to ordinary creditors (£)</w:t>
            </w:r>
          </w:p>
        </w:tc>
        <w:tc>
          <w:tcPr>
            <w:tcW w:w="696" w:type="pct"/>
            <w:shd w:val="clear" w:color="auto" w:fill="FFFFFF"/>
            <w:tcMar>
              <w:top w:w="0" w:type="dxa"/>
              <w:left w:w="0" w:type="dxa"/>
              <w:bottom w:w="0" w:type="dxa"/>
              <w:right w:w="0" w:type="dxa"/>
            </w:tcMar>
            <w:vAlign w:val="center"/>
          </w:tcPr>
          <w:p w14:paraId="0BD8143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24,153,000</w:t>
            </w:r>
          </w:p>
        </w:tc>
        <w:tc>
          <w:tcPr>
            <w:tcW w:w="696" w:type="pct"/>
            <w:shd w:val="clear" w:color="auto" w:fill="FFFFFF"/>
            <w:tcMar>
              <w:top w:w="0" w:type="dxa"/>
              <w:left w:w="0" w:type="dxa"/>
              <w:bottom w:w="0" w:type="dxa"/>
              <w:right w:w="0" w:type="dxa"/>
            </w:tcMar>
            <w:vAlign w:val="center"/>
          </w:tcPr>
          <w:p w14:paraId="7B8B560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13,489,000</w:t>
            </w:r>
          </w:p>
        </w:tc>
        <w:tc>
          <w:tcPr>
            <w:tcW w:w="696" w:type="pct"/>
            <w:shd w:val="clear" w:color="auto" w:fill="FFFFFF"/>
            <w:tcMar>
              <w:top w:w="0" w:type="dxa"/>
              <w:left w:w="0" w:type="dxa"/>
              <w:bottom w:w="0" w:type="dxa"/>
              <w:right w:w="0" w:type="dxa"/>
            </w:tcMar>
            <w:vAlign w:val="center"/>
          </w:tcPr>
          <w:p w14:paraId="2B6FDCD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7,016,000</w:t>
            </w:r>
          </w:p>
        </w:tc>
        <w:tc>
          <w:tcPr>
            <w:tcW w:w="696" w:type="pct"/>
            <w:shd w:val="clear" w:color="auto" w:fill="FFFFFF"/>
            <w:tcMar>
              <w:top w:w="0" w:type="dxa"/>
              <w:left w:w="0" w:type="dxa"/>
              <w:bottom w:w="0" w:type="dxa"/>
              <w:right w:w="0" w:type="dxa"/>
            </w:tcMar>
            <w:vAlign w:val="center"/>
          </w:tcPr>
          <w:p w14:paraId="7D7770C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19,686,000</w:t>
            </w:r>
          </w:p>
        </w:tc>
        <w:tc>
          <w:tcPr>
            <w:tcW w:w="696" w:type="pct"/>
            <w:shd w:val="clear" w:color="auto" w:fill="FFFFFF"/>
            <w:tcMar>
              <w:top w:w="0" w:type="dxa"/>
              <w:left w:w="0" w:type="dxa"/>
              <w:bottom w:w="0" w:type="dxa"/>
              <w:right w:w="0" w:type="dxa"/>
            </w:tcMar>
            <w:vAlign w:val="center"/>
          </w:tcPr>
          <w:p w14:paraId="6A2E723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21,617,000</w:t>
            </w:r>
          </w:p>
        </w:tc>
        <w:tc>
          <w:tcPr>
            <w:tcW w:w="519" w:type="pct"/>
            <w:shd w:val="clear" w:color="auto" w:fill="FFFFFF"/>
            <w:tcMar>
              <w:top w:w="0" w:type="dxa"/>
              <w:left w:w="0" w:type="dxa"/>
              <w:bottom w:w="0" w:type="dxa"/>
              <w:right w:w="0" w:type="dxa"/>
            </w:tcMar>
            <w:vAlign w:val="center"/>
          </w:tcPr>
          <w:p w14:paraId="12E1500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9.8%</w:t>
            </w:r>
          </w:p>
        </w:tc>
      </w:tr>
      <w:tr w:rsidR="004C3088" w:rsidRPr="00F92D87" w14:paraId="67C724F3" w14:textId="77777777" w:rsidTr="00F92D87">
        <w:trPr>
          <w:cantSplit/>
          <w:trHeight w:val="1345"/>
          <w:jc w:val="center"/>
        </w:trPr>
        <w:tc>
          <w:tcPr>
            <w:tcW w:w="1004" w:type="pct"/>
            <w:shd w:val="clear" w:color="auto" w:fill="FFFFFF"/>
            <w:tcMar>
              <w:top w:w="0" w:type="dxa"/>
              <w:left w:w="0" w:type="dxa"/>
              <w:bottom w:w="0" w:type="dxa"/>
              <w:right w:w="0" w:type="dxa"/>
            </w:tcMar>
            <w:vAlign w:val="center"/>
          </w:tcPr>
          <w:p w14:paraId="5292D7DC"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Dividend payable to ordinary creditors</w:t>
            </w:r>
          </w:p>
        </w:tc>
        <w:tc>
          <w:tcPr>
            <w:tcW w:w="696" w:type="pct"/>
            <w:shd w:val="clear" w:color="auto" w:fill="FFFFFF"/>
            <w:tcMar>
              <w:top w:w="0" w:type="dxa"/>
              <w:left w:w="0" w:type="dxa"/>
              <w:bottom w:w="0" w:type="dxa"/>
              <w:right w:w="0" w:type="dxa"/>
            </w:tcMar>
            <w:vAlign w:val="center"/>
          </w:tcPr>
          <w:p w14:paraId="667002B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24,153,000</w:t>
            </w:r>
          </w:p>
        </w:tc>
        <w:tc>
          <w:tcPr>
            <w:tcW w:w="696" w:type="pct"/>
            <w:shd w:val="clear" w:color="auto" w:fill="FFFFFF"/>
            <w:tcMar>
              <w:top w:w="0" w:type="dxa"/>
              <w:left w:w="0" w:type="dxa"/>
              <w:bottom w:w="0" w:type="dxa"/>
              <w:right w:w="0" w:type="dxa"/>
            </w:tcMar>
            <w:vAlign w:val="center"/>
          </w:tcPr>
          <w:p w14:paraId="7225009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13,489,000</w:t>
            </w:r>
          </w:p>
        </w:tc>
        <w:tc>
          <w:tcPr>
            <w:tcW w:w="696" w:type="pct"/>
            <w:shd w:val="clear" w:color="auto" w:fill="FFFFFF"/>
            <w:tcMar>
              <w:top w:w="0" w:type="dxa"/>
              <w:left w:w="0" w:type="dxa"/>
              <w:bottom w:w="0" w:type="dxa"/>
              <w:right w:w="0" w:type="dxa"/>
            </w:tcMar>
            <w:vAlign w:val="center"/>
          </w:tcPr>
          <w:p w14:paraId="10959AF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7,016,000</w:t>
            </w:r>
          </w:p>
        </w:tc>
        <w:tc>
          <w:tcPr>
            <w:tcW w:w="696" w:type="pct"/>
            <w:shd w:val="clear" w:color="auto" w:fill="FFFFFF"/>
            <w:tcMar>
              <w:top w:w="0" w:type="dxa"/>
              <w:left w:w="0" w:type="dxa"/>
              <w:bottom w:w="0" w:type="dxa"/>
              <w:right w:w="0" w:type="dxa"/>
            </w:tcMar>
            <w:vAlign w:val="center"/>
          </w:tcPr>
          <w:p w14:paraId="5665FEF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19,686,000</w:t>
            </w:r>
          </w:p>
        </w:tc>
        <w:tc>
          <w:tcPr>
            <w:tcW w:w="696" w:type="pct"/>
            <w:shd w:val="clear" w:color="auto" w:fill="FFFFFF"/>
            <w:tcMar>
              <w:top w:w="0" w:type="dxa"/>
              <w:left w:w="0" w:type="dxa"/>
              <w:bottom w:w="0" w:type="dxa"/>
              <w:right w:w="0" w:type="dxa"/>
            </w:tcMar>
            <w:vAlign w:val="center"/>
          </w:tcPr>
          <w:p w14:paraId="21F34DC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21,617,000</w:t>
            </w:r>
          </w:p>
        </w:tc>
        <w:tc>
          <w:tcPr>
            <w:tcW w:w="519" w:type="pct"/>
            <w:shd w:val="clear" w:color="auto" w:fill="FFFFFF"/>
            <w:tcMar>
              <w:top w:w="0" w:type="dxa"/>
              <w:left w:w="0" w:type="dxa"/>
              <w:bottom w:w="0" w:type="dxa"/>
              <w:right w:w="0" w:type="dxa"/>
            </w:tcMar>
            <w:vAlign w:val="center"/>
          </w:tcPr>
          <w:p w14:paraId="0DFAC0E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9.8%</w:t>
            </w:r>
          </w:p>
        </w:tc>
      </w:tr>
      <w:tr w:rsidR="004C3088" w:rsidRPr="00F92D87" w14:paraId="46BD362D" w14:textId="77777777" w:rsidTr="00F92D87">
        <w:trPr>
          <w:cantSplit/>
          <w:trHeight w:val="1345"/>
          <w:jc w:val="center"/>
        </w:trPr>
        <w:tc>
          <w:tcPr>
            <w:tcW w:w="1004" w:type="pct"/>
            <w:shd w:val="clear" w:color="auto" w:fill="FFFFFF"/>
            <w:tcMar>
              <w:top w:w="0" w:type="dxa"/>
              <w:left w:w="0" w:type="dxa"/>
              <w:bottom w:w="0" w:type="dxa"/>
              <w:right w:w="0" w:type="dxa"/>
            </w:tcMar>
            <w:vAlign w:val="center"/>
          </w:tcPr>
          <w:p w14:paraId="5DE15F9C"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No dividend payable to ordinary creditors</w:t>
            </w:r>
          </w:p>
        </w:tc>
        <w:tc>
          <w:tcPr>
            <w:tcW w:w="696" w:type="pct"/>
            <w:shd w:val="clear" w:color="auto" w:fill="FFFFFF"/>
            <w:tcMar>
              <w:top w:w="0" w:type="dxa"/>
              <w:left w:w="0" w:type="dxa"/>
              <w:bottom w:w="0" w:type="dxa"/>
              <w:right w:w="0" w:type="dxa"/>
            </w:tcMar>
            <w:vAlign w:val="center"/>
          </w:tcPr>
          <w:p w14:paraId="2A1DBBA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696" w:type="pct"/>
            <w:shd w:val="clear" w:color="auto" w:fill="FFFFFF"/>
            <w:tcMar>
              <w:top w:w="0" w:type="dxa"/>
              <w:left w:w="0" w:type="dxa"/>
              <w:bottom w:w="0" w:type="dxa"/>
              <w:right w:w="0" w:type="dxa"/>
            </w:tcMar>
            <w:vAlign w:val="center"/>
          </w:tcPr>
          <w:p w14:paraId="51B43F7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696" w:type="pct"/>
            <w:shd w:val="clear" w:color="auto" w:fill="FFFFFF"/>
            <w:tcMar>
              <w:top w:w="0" w:type="dxa"/>
              <w:left w:w="0" w:type="dxa"/>
              <w:bottom w:w="0" w:type="dxa"/>
              <w:right w:w="0" w:type="dxa"/>
            </w:tcMar>
            <w:vAlign w:val="center"/>
          </w:tcPr>
          <w:p w14:paraId="0AF4B87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696" w:type="pct"/>
            <w:shd w:val="clear" w:color="auto" w:fill="FFFFFF"/>
            <w:tcMar>
              <w:top w:w="0" w:type="dxa"/>
              <w:left w:w="0" w:type="dxa"/>
              <w:bottom w:w="0" w:type="dxa"/>
              <w:right w:w="0" w:type="dxa"/>
            </w:tcMar>
            <w:vAlign w:val="center"/>
          </w:tcPr>
          <w:p w14:paraId="6955721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696" w:type="pct"/>
            <w:shd w:val="clear" w:color="auto" w:fill="FFFFFF"/>
            <w:tcMar>
              <w:top w:w="0" w:type="dxa"/>
              <w:left w:w="0" w:type="dxa"/>
              <w:bottom w:w="0" w:type="dxa"/>
              <w:right w:w="0" w:type="dxa"/>
            </w:tcMar>
            <w:vAlign w:val="center"/>
          </w:tcPr>
          <w:p w14:paraId="0E06B36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519" w:type="pct"/>
            <w:shd w:val="clear" w:color="auto" w:fill="FFFFFF"/>
            <w:tcMar>
              <w:top w:w="0" w:type="dxa"/>
              <w:left w:w="0" w:type="dxa"/>
              <w:bottom w:w="0" w:type="dxa"/>
              <w:right w:w="0" w:type="dxa"/>
            </w:tcMar>
            <w:vAlign w:val="center"/>
          </w:tcPr>
          <w:p w14:paraId="321E129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3D999E1E" w14:textId="77777777" w:rsidTr="00F92D87">
        <w:trPr>
          <w:cantSplit/>
          <w:trHeight w:val="858"/>
          <w:jc w:val="center"/>
        </w:trPr>
        <w:tc>
          <w:tcPr>
            <w:tcW w:w="1004" w:type="pct"/>
            <w:shd w:val="clear" w:color="auto" w:fill="FFFFFF"/>
            <w:tcMar>
              <w:top w:w="0" w:type="dxa"/>
              <w:left w:w="0" w:type="dxa"/>
              <w:bottom w:w="0" w:type="dxa"/>
              <w:right w:w="0" w:type="dxa"/>
            </w:tcMar>
            <w:vAlign w:val="center"/>
          </w:tcPr>
          <w:p w14:paraId="63D44313"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Total receipts ingathered (£)</w:t>
            </w:r>
          </w:p>
        </w:tc>
        <w:tc>
          <w:tcPr>
            <w:tcW w:w="696" w:type="pct"/>
            <w:shd w:val="clear" w:color="auto" w:fill="FFFFFF"/>
            <w:tcMar>
              <w:top w:w="0" w:type="dxa"/>
              <w:left w:w="0" w:type="dxa"/>
              <w:bottom w:w="0" w:type="dxa"/>
              <w:right w:w="0" w:type="dxa"/>
            </w:tcMar>
            <w:vAlign w:val="center"/>
          </w:tcPr>
          <w:p w14:paraId="611E0AD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72,400,000</w:t>
            </w:r>
          </w:p>
        </w:tc>
        <w:tc>
          <w:tcPr>
            <w:tcW w:w="696" w:type="pct"/>
            <w:shd w:val="clear" w:color="auto" w:fill="FFFFFF"/>
            <w:tcMar>
              <w:top w:w="0" w:type="dxa"/>
              <w:left w:w="0" w:type="dxa"/>
              <w:bottom w:w="0" w:type="dxa"/>
              <w:right w:w="0" w:type="dxa"/>
            </w:tcMar>
            <w:vAlign w:val="center"/>
          </w:tcPr>
          <w:p w14:paraId="5893ADC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39,815,000</w:t>
            </w:r>
          </w:p>
        </w:tc>
        <w:tc>
          <w:tcPr>
            <w:tcW w:w="696" w:type="pct"/>
            <w:shd w:val="clear" w:color="auto" w:fill="FFFFFF"/>
            <w:tcMar>
              <w:top w:w="0" w:type="dxa"/>
              <w:left w:w="0" w:type="dxa"/>
              <w:bottom w:w="0" w:type="dxa"/>
              <w:right w:w="0" w:type="dxa"/>
            </w:tcMar>
            <w:vAlign w:val="center"/>
          </w:tcPr>
          <w:p w14:paraId="347DAD6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19,435,000</w:t>
            </w:r>
          </w:p>
        </w:tc>
        <w:tc>
          <w:tcPr>
            <w:tcW w:w="696" w:type="pct"/>
            <w:shd w:val="clear" w:color="auto" w:fill="FFFFFF"/>
            <w:tcMar>
              <w:top w:w="0" w:type="dxa"/>
              <w:left w:w="0" w:type="dxa"/>
              <w:bottom w:w="0" w:type="dxa"/>
              <w:right w:w="0" w:type="dxa"/>
            </w:tcMar>
            <w:vAlign w:val="center"/>
          </w:tcPr>
          <w:p w14:paraId="54728F5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54,287,000</w:t>
            </w:r>
          </w:p>
        </w:tc>
        <w:tc>
          <w:tcPr>
            <w:tcW w:w="696" w:type="pct"/>
            <w:shd w:val="clear" w:color="auto" w:fill="FFFFFF"/>
            <w:tcMar>
              <w:top w:w="0" w:type="dxa"/>
              <w:left w:w="0" w:type="dxa"/>
              <w:bottom w:w="0" w:type="dxa"/>
              <w:right w:w="0" w:type="dxa"/>
            </w:tcMar>
            <w:vAlign w:val="center"/>
          </w:tcPr>
          <w:p w14:paraId="49F2535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58,391,000</w:t>
            </w:r>
          </w:p>
        </w:tc>
        <w:tc>
          <w:tcPr>
            <w:tcW w:w="519" w:type="pct"/>
            <w:shd w:val="clear" w:color="auto" w:fill="FFFFFF"/>
            <w:tcMar>
              <w:top w:w="0" w:type="dxa"/>
              <w:left w:w="0" w:type="dxa"/>
              <w:bottom w:w="0" w:type="dxa"/>
              <w:right w:w="0" w:type="dxa"/>
            </w:tcMar>
            <w:vAlign w:val="center"/>
          </w:tcPr>
          <w:p w14:paraId="70746D7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7.6%</w:t>
            </w:r>
          </w:p>
        </w:tc>
      </w:tr>
      <w:tr w:rsidR="004C3088" w:rsidRPr="00F92D87" w14:paraId="546F0AE8" w14:textId="77777777" w:rsidTr="00F92D87">
        <w:trPr>
          <w:cantSplit/>
          <w:trHeight w:val="1345"/>
          <w:jc w:val="center"/>
        </w:trPr>
        <w:tc>
          <w:tcPr>
            <w:tcW w:w="1004" w:type="pct"/>
            <w:shd w:val="clear" w:color="auto" w:fill="FFFFFF"/>
            <w:tcMar>
              <w:top w:w="0" w:type="dxa"/>
              <w:left w:w="0" w:type="dxa"/>
              <w:bottom w:w="0" w:type="dxa"/>
              <w:right w:w="0" w:type="dxa"/>
            </w:tcMar>
            <w:vAlign w:val="center"/>
          </w:tcPr>
          <w:p w14:paraId="4953BDD7"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Dividend payable to ordinary creditors</w:t>
            </w:r>
          </w:p>
        </w:tc>
        <w:tc>
          <w:tcPr>
            <w:tcW w:w="696" w:type="pct"/>
            <w:shd w:val="clear" w:color="auto" w:fill="FFFFFF"/>
            <w:tcMar>
              <w:top w:w="0" w:type="dxa"/>
              <w:left w:w="0" w:type="dxa"/>
              <w:bottom w:w="0" w:type="dxa"/>
              <w:right w:w="0" w:type="dxa"/>
            </w:tcMar>
            <w:vAlign w:val="center"/>
          </w:tcPr>
          <w:p w14:paraId="2CA6ABE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67,332,000</w:t>
            </w:r>
          </w:p>
        </w:tc>
        <w:tc>
          <w:tcPr>
            <w:tcW w:w="696" w:type="pct"/>
            <w:shd w:val="clear" w:color="auto" w:fill="FFFFFF"/>
            <w:tcMar>
              <w:top w:w="0" w:type="dxa"/>
              <w:left w:w="0" w:type="dxa"/>
              <w:bottom w:w="0" w:type="dxa"/>
              <w:right w:w="0" w:type="dxa"/>
            </w:tcMar>
            <w:vAlign w:val="center"/>
          </w:tcPr>
          <w:p w14:paraId="111CE19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36,519,000</w:t>
            </w:r>
          </w:p>
        </w:tc>
        <w:tc>
          <w:tcPr>
            <w:tcW w:w="696" w:type="pct"/>
            <w:shd w:val="clear" w:color="auto" w:fill="FFFFFF"/>
            <w:tcMar>
              <w:top w:w="0" w:type="dxa"/>
              <w:left w:w="0" w:type="dxa"/>
              <w:bottom w:w="0" w:type="dxa"/>
              <w:right w:w="0" w:type="dxa"/>
            </w:tcMar>
            <w:vAlign w:val="center"/>
          </w:tcPr>
          <w:p w14:paraId="1C06DAD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17,507,000</w:t>
            </w:r>
          </w:p>
        </w:tc>
        <w:tc>
          <w:tcPr>
            <w:tcW w:w="696" w:type="pct"/>
            <w:shd w:val="clear" w:color="auto" w:fill="FFFFFF"/>
            <w:tcMar>
              <w:top w:w="0" w:type="dxa"/>
              <w:left w:w="0" w:type="dxa"/>
              <w:bottom w:w="0" w:type="dxa"/>
              <w:right w:w="0" w:type="dxa"/>
            </w:tcMar>
            <w:vAlign w:val="center"/>
          </w:tcPr>
          <w:p w14:paraId="4E06F99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51,978,000</w:t>
            </w:r>
          </w:p>
        </w:tc>
        <w:tc>
          <w:tcPr>
            <w:tcW w:w="696" w:type="pct"/>
            <w:shd w:val="clear" w:color="auto" w:fill="FFFFFF"/>
            <w:tcMar>
              <w:top w:w="0" w:type="dxa"/>
              <w:left w:w="0" w:type="dxa"/>
              <w:bottom w:w="0" w:type="dxa"/>
              <w:right w:w="0" w:type="dxa"/>
            </w:tcMar>
            <w:vAlign w:val="center"/>
          </w:tcPr>
          <w:p w14:paraId="7CA1331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54,478,000</w:t>
            </w:r>
          </w:p>
        </w:tc>
        <w:tc>
          <w:tcPr>
            <w:tcW w:w="519" w:type="pct"/>
            <w:shd w:val="clear" w:color="auto" w:fill="FFFFFF"/>
            <w:tcMar>
              <w:top w:w="0" w:type="dxa"/>
              <w:left w:w="0" w:type="dxa"/>
              <w:bottom w:w="0" w:type="dxa"/>
              <w:right w:w="0" w:type="dxa"/>
            </w:tcMar>
            <w:vAlign w:val="center"/>
          </w:tcPr>
          <w:p w14:paraId="4F3236D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4.8%</w:t>
            </w:r>
          </w:p>
        </w:tc>
      </w:tr>
      <w:tr w:rsidR="004C3088" w:rsidRPr="00F92D87" w14:paraId="7113AA62" w14:textId="77777777" w:rsidTr="00F92D87">
        <w:trPr>
          <w:cantSplit/>
          <w:trHeight w:val="1345"/>
          <w:jc w:val="center"/>
        </w:trPr>
        <w:tc>
          <w:tcPr>
            <w:tcW w:w="1004" w:type="pct"/>
            <w:shd w:val="clear" w:color="auto" w:fill="FFFFFF"/>
            <w:tcMar>
              <w:top w:w="0" w:type="dxa"/>
              <w:left w:w="0" w:type="dxa"/>
              <w:bottom w:w="0" w:type="dxa"/>
              <w:right w:w="0" w:type="dxa"/>
            </w:tcMar>
            <w:vAlign w:val="center"/>
          </w:tcPr>
          <w:p w14:paraId="43024B96"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No dividend payable to ordinary creditors</w:t>
            </w:r>
          </w:p>
        </w:tc>
        <w:tc>
          <w:tcPr>
            <w:tcW w:w="696" w:type="pct"/>
            <w:shd w:val="clear" w:color="auto" w:fill="FFFFFF"/>
            <w:tcMar>
              <w:top w:w="0" w:type="dxa"/>
              <w:left w:w="0" w:type="dxa"/>
              <w:bottom w:w="0" w:type="dxa"/>
              <w:right w:w="0" w:type="dxa"/>
            </w:tcMar>
            <w:vAlign w:val="center"/>
          </w:tcPr>
          <w:p w14:paraId="4A1A832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5,068,000</w:t>
            </w:r>
          </w:p>
        </w:tc>
        <w:tc>
          <w:tcPr>
            <w:tcW w:w="696" w:type="pct"/>
            <w:shd w:val="clear" w:color="auto" w:fill="FFFFFF"/>
            <w:tcMar>
              <w:top w:w="0" w:type="dxa"/>
              <w:left w:w="0" w:type="dxa"/>
              <w:bottom w:w="0" w:type="dxa"/>
              <w:right w:w="0" w:type="dxa"/>
            </w:tcMar>
            <w:vAlign w:val="center"/>
          </w:tcPr>
          <w:p w14:paraId="7626117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3,296,000</w:t>
            </w:r>
          </w:p>
        </w:tc>
        <w:tc>
          <w:tcPr>
            <w:tcW w:w="696" w:type="pct"/>
            <w:shd w:val="clear" w:color="auto" w:fill="FFFFFF"/>
            <w:tcMar>
              <w:top w:w="0" w:type="dxa"/>
              <w:left w:w="0" w:type="dxa"/>
              <w:bottom w:w="0" w:type="dxa"/>
              <w:right w:w="0" w:type="dxa"/>
            </w:tcMar>
            <w:vAlign w:val="center"/>
          </w:tcPr>
          <w:p w14:paraId="2D79A33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1,928,000</w:t>
            </w:r>
          </w:p>
        </w:tc>
        <w:tc>
          <w:tcPr>
            <w:tcW w:w="696" w:type="pct"/>
            <w:shd w:val="clear" w:color="auto" w:fill="FFFFFF"/>
            <w:tcMar>
              <w:top w:w="0" w:type="dxa"/>
              <w:left w:w="0" w:type="dxa"/>
              <w:bottom w:w="0" w:type="dxa"/>
              <w:right w:w="0" w:type="dxa"/>
            </w:tcMar>
            <w:vAlign w:val="center"/>
          </w:tcPr>
          <w:p w14:paraId="2E77D88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2,309,000</w:t>
            </w:r>
          </w:p>
        </w:tc>
        <w:tc>
          <w:tcPr>
            <w:tcW w:w="696" w:type="pct"/>
            <w:shd w:val="clear" w:color="auto" w:fill="FFFFFF"/>
            <w:tcMar>
              <w:top w:w="0" w:type="dxa"/>
              <w:left w:w="0" w:type="dxa"/>
              <w:bottom w:w="0" w:type="dxa"/>
              <w:right w:w="0" w:type="dxa"/>
            </w:tcMar>
            <w:vAlign w:val="center"/>
          </w:tcPr>
          <w:p w14:paraId="46BAF24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3,913,000</w:t>
            </w:r>
          </w:p>
        </w:tc>
        <w:tc>
          <w:tcPr>
            <w:tcW w:w="519" w:type="pct"/>
            <w:shd w:val="clear" w:color="auto" w:fill="FFFFFF"/>
            <w:tcMar>
              <w:top w:w="0" w:type="dxa"/>
              <w:left w:w="0" w:type="dxa"/>
              <w:bottom w:w="0" w:type="dxa"/>
              <w:right w:w="0" w:type="dxa"/>
            </w:tcMar>
            <w:vAlign w:val="center"/>
          </w:tcPr>
          <w:p w14:paraId="0CECBCC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69.5%</w:t>
            </w:r>
          </w:p>
        </w:tc>
      </w:tr>
      <w:tr w:rsidR="004C3088" w:rsidRPr="00F92D87" w14:paraId="32A28388" w14:textId="77777777" w:rsidTr="00F92D87">
        <w:trPr>
          <w:cantSplit/>
          <w:trHeight w:val="1345"/>
          <w:jc w:val="center"/>
        </w:trPr>
        <w:tc>
          <w:tcPr>
            <w:tcW w:w="5000" w:type="pct"/>
            <w:gridSpan w:val="7"/>
            <w:tcBorders>
              <w:top w:val="single" w:sz="8" w:space="0" w:color="BEBEBE"/>
            </w:tcBorders>
            <w:shd w:val="clear" w:color="auto" w:fill="FFFFFF"/>
            <w:tcMar>
              <w:top w:w="0" w:type="dxa"/>
              <w:left w:w="0" w:type="dxa"/>
              <w:bottom w:w="0" w:type="dxa"/>
              <w:right w:w="0" w:type="dxa"/>
            </w:tcMar>
            <w:vAlign w:val="center"/>
          </w:tcPr>
          <w:p w14:paraId="1A7C6E5C" w14:textId="77777777" w:rsidR="004C3088" w:rsidRPr="00F92D87" w:rsidRDefault="002556CC">
            <w:pPr>
              <w:spacing w:after="0"/>
              <w:rPr>
                <w:rFonts w:ascii="Arial" w:hAnsi="Arial" w:cs="Arial"/>
                <w:sz w:val="22"/>
                <w:szCs w:val="22"/>
              </w:rPr>
            </w:pPr>
            <w:r w:rsidRPr="00F92D87">
              <w:rPr>
                <w:rFonts w:ascii="Arial" w:eastAsia="Arial" w:hAnsi="Arial" w:cs="Arial"/>
                <w:color w:val="000000"/>
                <w:sz w:val="22"/>
                <w:szCs w:val="22"/>
              </w:rPr>
              <w:t>Source: Accountant in Bankruptcy</w:t>
            </w:r>
          </w:p>
        </w:tc>
      </w:tr>
    </w:tbl>
    <w:p w14:paraId="1F9CD685" w14:textId="77777777" w:rsidR="004C3088" w:rsidRDefault="004C3088">
      <w:pPr>
        <w:pStyle w:val="BodyText"/>
      </w:pPr>
    </w:p>
    <w:p w14:paraId="5EDE652F" w14:textId="77777777" w:rsidR="004C3088" w:rsidRDefault="002556CC">
      <w:pPr>
        <w:pStyle w:val="BodyText"/>
      </w:pPr>
      <w:r>
        <w:t>The average administration cost of a PTD that concluded with a dividend payable was £6,100 in 2022-23 compared with £6,200 in 2021-22.</w:t>
      </w:r>
    </w:p>
    <w:p w14:paraId="14DCB71C" w14:textId="41110EBF" w:rsidR="004C3088" w:rsidRDefault="002556CC">
      <w:pPr>
        <w:pStyle w:val="BodyText"/>
      </w:pPr>
      <w:r>
        <w:t xml:space="preserve">For all PTDs including those with zero dividends, the mean dividend paid to ordinary creditors during 2022-23 was 15.8 pence in the </w:t>
      </w:r>
      <w:r w:rsidR="00506E0E">
        <w:t>£</w:t>
      </w:r>
      <w:r>
        <w:t xml:space="preserve"> compared with 16.0 pence in the </w:t>
      </w:r>
      <w:r w:rsidR="00506E0E">
        <w:t>£</w:t>
      </w:r>
      <w:r>
        <w:t xml:space="preserve"> in 2021-22.</w:t>
      </w:r>
    </w:p>
    <w:p w14:paraId="72696A63" w14:textId="6B9A37B2" w:rsidR="004C3088" w:rsidRDefault="002556CC">
      <w:pPr>
        <w:pStyle w:val="BodyText"/>
      </w:pPr>
      <w:r>
        <w:t xml:space="preserve">In 2022-23, </w:t>
      </w:r>
      <w:r w:rsidR="00BC41A5">
        <w:t>over</w:t>
      </w:r>
      <w:r>
        <w:t xml:space="preserve"> £3.9 million was ingathered for PTDs concluded where no dividend was payable, compared with £2.3 million in 2021-22.</w:t>
      </w:r>
    </w:p>
    <w:p w14:paraId="5123412A" w14:textId="16578ACC" w:rsidR="004C3088" w:rsidRDefault="002556CC">
      <w:pPr>
        <w:pStyle w:val="BodyText"/>
      </w:pPr>
      <w:r>
        <w:t>The average administration cost of a PTD that concluded with no dividend payable was £2,400 in 2022-23</w:t>
      </w:r>
      <w:r w:rsidR="00BC41A5">
        <w:t>,</w:t>
      </w:r>
      <w:r>
        <w:t xml:space="preserve"> the same amount as in 2021-22.</w:t>
      </w:r>
    </w:p>
    <w:p w14:paraId="5087C2FF" w14:textId="77777777" w:rsidR="004C3088" w:rsidRDefault="004C3088">
      <w:pPr>
        <w:pStyle w:val="BodyText"/>
      </w:pPr>
    </w:p>
    <w:p w14:paraId="03508935" w14:textId="77777777" w:rsidR="004C3088" w:rsidRDefault="002556CC">
      <w:pPr>
        <w:pStyle w:val="Heading3"/>
      </w:pPr>
      <w:bookmarkStart w:id="22" w:name="ptd-form-7-and-form-11-performance"/>
      <w:r>
        <w:t>PTD Form 7 and Form 11 performance</w:t>
      </w:r>
      <w:bookmarkEnd w:id="22"/>
    </w:p>
    <w:p w14:paraId="43AC5E31" w14:textId="77777777" w:rsidR="004C3088" w:rsidRDefault="002556CC">
      <w:pPr>
        <w:pStyle w:val="FirstParagraph"/>
      </w:pPr>
      <w:r>
        <w:t>The Form 7 and Form 11 returns detail the trustee’s actual statement of realisation and distribution of estate under a PTD. The following tables summarise the performance based on this information from the Form 7 returns.</w:t>
      </w:r>
    </w:p>
    <w:p w14:paraId="46A65086" w14:textId="77777777" w:rsidR="004C3088" w:rsidRDefault="002556CC">
      <w:pPr>
        <w:pStyle w:val="BodyText"/>
      </w:pPr>
      <w:r>
        <w:t>The percentage of cases where administration costs have increased by 25% or more includes PTDs where there has been increased complexity or a lack of co-operation from the debtor, requiring the trustee to commit more time to the administration in these cases.</w:t>
      </w:r>
    </w:p>
    <w:p w14:paraId="756C0389" w14:textId="77777777" w:rsidR="004C3088" w:rsidRDefault="002556CC">
      <w:pPr>
        <w:pStyle w:val="BodyText"/>
      </w:pPr>
      <w:r>
        <w:t>The number of PTDs where a dividend was not paid to creditors increased in 2022-23 by 70.4%. A proportion of these cases were not concluded, therefore the debtor was not discharged from liability to pay the debts included in the PTD.</w:t>
      </w:r>
    </w:p>
    <w:p w14:paraId="513C0B78" w14:textId="77777777" w:rsidR="00F92D87" w:rsidRDefault="00F92D87" w:rsidP="00F92D87">
      <w:pPr>
        <w:pStyle w:val="BodyText"/>
      </w:pPr>
    </w:p>
    <w:p w14:paraId="0DD69697" w14:textId="77777777" w:rsidR="00F92D87" w:rsidRDefault="00F92D87">
      <w:pPr>
        <w:rPr>
          <w:rFonts w:ascii="Arial" w:hAnsi="Arial"/>
        </w:rPr>
      </w:pPr>
      <w:r>
        <w:br w:type="page"/>
      </w:r>
    </w:p>
    <w:p w14:paraId="4BD09D53" w14:textId="2C5BD3FD" w:rsidR="004C3088" w:rsidRDefault="00F92D87" w:rsidP="00F92D87">
      <w:pPr>
        <w:pStyle w:val="BodyText"/>
      </w:pPr>
      <w:r>
        <w:lastRenderedPageBreak/>
        <w:t xml:space="preserve">Table 7: Summary of Form 7 and 11 performance for </w:t>
      </w:r>
      <w:proofErr w:type="spellStart"/>
      <w:r>
        <w:t>PTDs</w:t>
      </w:r>
      <w:proofErr w:type="spellEnd"/>
      <w:r>
        <w:t xml:space="preserve"> concluded in </w:t>
      </w:r>
      <w:r w:rsidR="00BC41A5">
        <w:t>2022-23</w:t>
      </w:r>
    </w:p>
    <w:tbl>
      <w:tblPr>
        <w:tblW w:w="5000" w:type="pct"/>
        <w:jc w:val="center"/>
        <w:tblLook w:val="04A0" w:firstRow="1" w:lastRow="0" w:firstColumn="1" w:lastColumn="0" w:noHBand="0" w:noVBand="1"/>
      </w:tblPr>
      <w:tblGrid>
        <w:gridCol w:w="2346"/>
        <w:gridCol w:w="1032"/>
        <w:gridCol w:w="1126"/>
        <w:gridCol w:w="1374"/>
        <w:gridCol w:w="1127"/>
        <w:gridCol w:w="1127"/>
        <w:gridCol w:w="1228"/>
      </w:tblGrid>
      <w:tr w:rsidR="004C3088" w:rsidRPr="00F92D87" w14:paraId="4105C465" w14:textId="77777777" w:rsidTr="00F92D87">
        <w:trPr>
          <w:cantSplit/>
          <w:trHeight w:hRule="exact" w:val="2268"/>
          <w:tblHeader/>
          <w:jc w:val="center"/>
        </w:trPr>
        <w:tc>
          <w:tcPr>
            <w:tcW w:w="1304" w:type="pct"/>
            <w:tcBorders>
              <w:bottom w:val="single" w:sz="8" w:space="0" w:color="BEBEBE"/>
            </w:tcBorders>
            <w:shd w:val="clear" w:color="auto" w:fill="FFFFFF"/>
            <w:tcMar>
              <w:top w:w="0" w:type="dxa"/>
              <w:left w:w="0" w:type="dxa"/>
              <w:bottom w:w="0" w:type="dxa"/>
              <w:right w:w="0" w:type="dxa"/>
            </w:tcMar>
            <w:vAlign w:val="center"/>
          </w:tcPr>
          <w:p w14:paraId="1D304B0D"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 xml:space="preserve">Trustee </w:t>
            </w:r>
            <w:proofErr w:type="spellStart"/>
            <w:r w:rsidRPr="00F92D87">
              <w:rPr>
                <w:rFonts w:ascii="Arial" w:eastAsia="Roboto" w:hAnsi="Arial" w:cs="Arial"/>
                <w:b/>
                <w:color w:val="111111"/>
                <w:sz w:val="22"/>
                <w:szCs w:val="22"/>
              </w:rPr>
              <w:t>organisation</w:t>
            </w:r>
            <w:proofErr w:type="spellEnd"/>
          </w:p>
        </w:tc>
        <w:tc>
          <w:tcPr>
            <w:tcW w:w="435" w:type="pct"/>
            <w:tcBorders>
              <w:bottom w:val="single" w:sz="8" w:space="0" w:color="BEBEBE"/>
            </w:tcBorders>
            <w:shd w:val="clear" w:color="auto" w:fill="FFFFFF"/>
            <w:tcMar>
              <w:top w:w="0" w:type="dxa"/>
              <w:left w:w="0" w:type="dxa"/>
              <w:bottom w:w="0" w:type="dxa"/>
              <w:right w:w="0" w:type="dxa"/>
            </w:tcMar>
            <w:vAlign w:val="center"/>
          </w:tcPr>
          <w:p w14:paraId="60BBF9A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Number of PTDs</w:t>
            </w:r>
          </w:p>
        </w:tc>
        <w:tc>
          <w:tcPr>
            <w:tcW w:w="652" w:type="pct"/>
            <w:tcBorders>
              <w:bottom w:val="single" w:sz="8" w:space="0" w:color="BEBEBE"/>
            </w:tcBorders>
            <w:shd w:val="clear" w:color="auto" w:fill="FFFFFF"/>
            <w:tcMar>
              <w:top w:w="0" w:type="dxa"/>
              <w:left w:w="0" w:type="dxa"/>
              <w:bottom w:w="0" w:type="dxa"/>
              <w:right w:w="0" w:type="dxa"/>
            </w:tcMar>
            <w:vAlign w:val="center"/>
          </w:tcPr>
          <w:p w14:paraId="266563E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Number of PTDs in which no dividend was payable</w:t>
            </w:r>
          </w:p>
        </w:tc>
        <w:tc>
          <w:tcPr>
            <w:tcW w:w="652" w:type="pct"/>
            <w:tcBorders>
              <w:bottom w:val="single" w:sz="8" w:space="0" w:color="BEBEBE"/>
            </w:tcBorders>
            <w:shd w:val="clear" w:color="auto" w:fill="FFFFFF"/>
            <w:tcMar>
              <w:top w:w="0" w:type="dxa"/>
              <w:left w:w="0" w:type="dxa"/>
              <w:bottom w:w="0" w:type="dxa"/>
              <w:right w:w="0" w:type="dxa"/>
            </w:tcMar>
            <w:vAlign w:val="center"/>
          </w:tcPr>
          <w:p w14:paraId="1AB6151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Number of PTDs in which the debtor was not discharged</w:t>
            </w:r>
          </w:p>
        </w:tc>
        <w:tc>
          <w:tcPr>
            <w:tcW w:w="652" w:type="pct"/>
            <w:tcBorders>
              <w:bottom w:val="single" w:sz="8" w:space="0" w:color="BEBEBE"/>
            </w:tcBorders>
            <w:shd w:val="clear" w:color="auto" w:fill="FFFFFF"/>
            <w:tcMar>
              <w:top w:w="0" w:type="dxa"/>
              <w:left w:w="0" w:type="dxa"/>
              <w:bottom w:w="0" w:type="dxa"/>
              <w:right w:w="0" w:type="dxa"/>
            </w:tcMar>
            <w:vAlign w:val="center"/>
          </w:tcPr>
          <w:p w14:paraId="565314F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Form 3 mean dividend (p in the £)</w:t>
            </w:r>
          </w:p>
        </w:tc>
        <w:tc>
          <w:tcPr>
            <w:tcW w:w="652" w:type="pct"/>
            <w:tcBorders>
              <w:bottom w:val="single" w:sz="8" w:space="0" w:color="BEBEBE"/>
            </w:tcBorders>
            <w:shd w:val="clear" w:color="auto" w:fill="FFFFFF"/>
            <w:tcMar>
              <w:top w:w="0" w:type="dxa"/>
              <w:left w:w="0" w:type="dxa"/>
              <w:bottom w:w="0" w:type="dxa"/>
              <w:right w:w="0" w:type="dxa"/>
            </w:tcMar>
            <w:vAlign w:val="center"/>
          </w:tcPr>
          <w:p w14:paraId="4C579E1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Form 7 or 11 mean dividend (p in the £)</w:t>
            </w:r>
          </w:p>
        </w:tc>
        <w:tc>
          <w:tcPr>
            <w:tcW w:w="652" w:type="pct"/>
            <w:tcBorders>
              <w:bottom w:val="single" w:sz="8" w:space="0" w:color="BEBEBE"/>
            </w:tcBorders>
            <w:shd w:val="clear" w:color="auto" w:fill="FFFFFF"/>
            <w:tcMar>
              <w:top w:w="0" w:type="dxa"/>
              <w:left w:w="0" w:type="dxa"/>
              <w:bottom w:w="0" w:type="dxa"/>
              <w:right w:w="0" w:type="dxa"/>
            </w:tcMar>
            <w:vAlign w:val="center"/>
          </w:tcPr>
          <w:p w14:paraId="5857F2A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Number of PTDs in which admin costs increased by at least 25%</w:t>
            </w:r>
          </w:p>
        </w:tc>
      </w:tr>
      <w:tr w:rsidR="004C3088" w:rsidRPr="00F92D87" w14:paraId="645377F0" w14:textId="77777777" w:rsidTr="00F92D87">
        <w:trPr>
          <w:cantSplit/>
          <w:trHeight w:hRule="exact" w:val="720"/>
          <w:jc w:val="center"/>
        </w:trPr>
        <w:tc>
          <w:tcPr>
            <w:tcW w:w="1304" w:type="pct"/>
            <w:shd w:val="clear" w:color="auto" w:fill="FFFFFF"/>
            <w:tcMar>
              <w:top w:w="0" w:type="dxa"/>
              <w:left w:w="0" w:type="dxa"/>
              <w:bottom w:w="0" w:type="dxa"/>
              <w:right w:w="0" w:type="dxa"/>
            </w:tcMar>
            <w:vAlign w:val="center"/>
          </w:tcPr>
          <w:p w14:paraId="154C1F99"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Number of approved Form 7</w:t>
            </w:r>
          </w:p>
        </w:tc>
        <w:tc>
          <w:tcPr>
            <w:tcW w:w="435" w:type="pct"/>
            <w:shd w:val="clear" w:color="auto" w:fill="FFFFFF"/>
            <w:tcMar>
              <w:top w:w="0" w:type="dxa"/>
              <w:left w:w="0" w:type="dxa"/>
              <w:bottom w:w="0" w:type="dxa"/>
              <w:right w:w="0" w:type="dxa"/>
            </w:tcMar>
            <w:vAlign w:val="center"/>
          </w:tcPr>
          <w:p w14:paraId="2465004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7,075</w:t>
            </w:r>
          </w:p>
        </w:tc>
        <w:tc>
          <w:tcPr>
            <w:tcW w:w="652" w:type="pct"/>
            <w:shd w:val="clear" w:color="auto" w:fill="FFFFFF"/>
            <w:tcMar>
              <w:top w:w="0" w:type="dxa"/>
              <w:left w:w="0" w:type="dxa"/>
              <w:bottom w:w="0" w:type="dxa"/>
              <w:right w:w="0" w:type="dxa"/>
            </w:tcMar>
            <w:vAlign w:val="center"/>
          </w:tcPr>
          <w:p w14:paraId="51C9945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1,654</w:t>
            </w:r>
          </w:p>
        </w:tc>
        <w:tc>
          <w:tcPr>
            <w:tcW w:w="652" w:type="pct"/>
            <w:shd w:val="clear" w:color="auto" w:fill="FFFFFF"/>
            <w:tcMar>
              <w:top w:w="0" w:type="dxa"/>
              <w:left w:w="0" w:type="dxa"/>
              <w:bottom w:w="0" w:type="dxa"/>
              <w:right w:w="0" w:type="dxa"/>
            </w:tcMar>
            <w:vAlign w:val="center"/>
          </w:tcPr>
          <w:p w14:paraId="3D4DA06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1,137</w:t>
            </w:r>
          </w:p>
        </w:tc>
        <w:tc>
          <w:tcPr>
            <w:tcW w:w="652" w:type="pct"/>
            <w:shd w:val="clear" w:color="auto" w:fill="FFFFFF"/>
            <w:tcMar>
              <w:top w:w="0" w:type="dxa"/>
              <w:left w:w="0" w:type="dxa"/>
              <w:bottom w:w="0" w:type="dxa"/>
              <w:right w:w="0" w:type="dxa"/>
            </w:tcMar>
            <w:vAlign w:val="center"/>
          </w:tcPr>
          <w:p w14:paraId="6610845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18</w:t>
            </w:r>
          </w:p>
        </w:tc>
        <w:tc>
          <w:tcPr>
            <w:tcW w:w="652" w:type="pct"/>
            <w:shd w:val="clear" w:color="auto" w:fill="FFFFFF"/>
            <w:tcMar>
              <w:top w:w="0" w:type="dxa"/>
              <w:left w:w="0" w:type="dxa"/>
              <w:bottom w:w="0" w:type="dxa"/>
              <w:right w:w="0" w:type="dxa"/>
            </w:tcMar>
            <w:vAlign w:val="center"/>
          </w:tcPr>
          <w:p w14:paraId="22B1B20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21</w:t>
            </w:r>
          </w:p>
        </w:tc>
        <w:tc>
          <w:tcPr>
            <w:tcW w:w="652" w:type="pct"/>
            <w:shd w:val="clear" w:color="auto" w:fill="FFFFFF"/>
            <w:tcMar>
              <w:top w:w="0" w:type="dxa"/>
              <w:left w:w="0" w:type="dxa"/>
              <w:bottom w:w="0" w:type="dxa"/>
              <w:right w:w="0" w:type="dxa"/>
            </w:tcMar>
            <w:vAlign w:val="center"/>
          </w:tcPr>
          <w:p w14:paraId="1608A29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882</w:t>
            </w:r>
          </w:p>
        </w:tc>
      </w:tr>
      <w:tr w:rsidR="004C3088" w:rsidRPr="00F92D87" w14:paraId="4ADD0BD4" w14:textId="77777777" w:rsidTr="00F92D87">
        <w:trPr>
          <w:cantSplit/>
          <w:trHeight w:hRule="exact" w:val="360"/>
          <w:jc w:val="center"/>
        </w:trPr>
        <w:tc>
          <w:tcPr>
            <w:tcW w:w="1304" w:type="pct"/>
            <w:shd w:val="clear" w:color="auto" w:fill="FFFFFF"/>
            <w:tcMar>
              <w:top w:w="0" w:type="dxa"/>
              <w:left w:w="0" w:type="dxa"/>
              <w:bottom w:w="0" w:type="dxa"/>
              <w:right w:w="0" w:type="dxa"/>
            </w:tcMar>
            <w:vAlign w:val="center"/>
          </w:tcPr>
          <w:p w14:paraId="712D2BA5"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 xml:space="preserve"> Carrington Dean</w:t>
            </w:r>
          </w:p>
        </w:tc>
        <w:tc>
          <w:tcPr>
            <w:tcW w:w="435" w:type="pct"/>
            <w:shd w:val="clear" w:color="auto" w:fill="FFFFFF"/>
            <w:tcMar>
              <w:top w:w="0" w:type="dxa"/>
              <w:left w:w="0" w:type="dxa"/>
              <w:bottom w:w="0" w:type="dxa"/>
              <w:right w:w="0" w:type="dxa"/>
            </w:tcMar>
            <w:vAlign w:val="center"/>
          </w:tcPr>
          <w:p w14:paraId="6CF043A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4,924</w:t>
            </w:r>
          </w:p>
        </w:tc>
        <w:tc>
          <w:tcPr>
            <w:tcW w:w="652" w:type="pct"/>
            <w:shd w:val="clear" w:color="auto" w:fill="FFFFFF"/>
            <w:tcMar>
              <w:top w:w="0" w:type="dxa"/>
              <w:left w:w="0" w:type="dxa"/>
              <w:bottom w:w="0" w:type="dxa"/>
              <w:right w:w="0" w:type="dxa"/>
            </w:tcMar>
            <w:vAlign w:val="center"/>
          </w:tcPr>
          <w:p w14:paraId="585FB73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1,138</w:t>
            </w:r>
          </w:p>
        </w:tc>
        <w:tc>
          <w:tcPr>
            <w:tcW w:w="652" w:type="pct"/>
            <w:shd w:val="clear" w:color="auto" w:fill="FFFFFF"/>
            <w:tcMar>
              <w:top w:w="0" w:type="dxa"/>
              <w:left w:w="0" w:type="dxa"/>
              <w:bottom w:w="0" w:type="dxa"/>
              <w:right w:w="0" w:type="dxa"/>
            </w:tcMar>
            <w:vAlign w:val="center"/>
          </w:tcPr>
          <w:p w14:paraId="6B05256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814</w:t>
            </w:r>
          </w:p>
        </w:tc>
        <w:tc>
          <w:tcPr>
            <w:tcW w:w="652" w:type="pct"/>
            <w:shd w:val="clear" w:color="auto" w:fill="FFFFFF"/>
            <w:tcMar>
              <w:top w:w="0" w:type="dxa"/>
              <w:left w:w="0" w:type="dxa"/>
              <w:bottom w:w="0" w:type="dxa"/>
              <w:right w:w="0" w:type="dxa"/>
            </w:tcMar>
            <w:vAlign w:val="center"/>
          </w:tcPr>
          <w:p w14:paraId="3F77D70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17</w:t>
            </w:r>
          </w:p>
        </w:tc>
        <w:tc>
          <w:tcPr>
            <w:tcW w:w="652" w:type="pct"/>
            <w:shd w:val="clear" w:color="auto" w:fill="FFFFFF"/>
            <w:tcMar>
              <w:top w:w="0" w:type="dxa"/>
              <w:left w:w="0" w:type="dxa"/>
              <w:bottom w:w="0" w:type="dxa"/>
              <w:right w:w="0" w:type="dxa"/>
            </w:tcMar>
            <w:vAlign w:val="center"/>
          </w:tcPr>
          <w:p w14:paraId="737FF00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18</w:t>
            </w:r>
          </w:p>
        </w:tc>
        <w:tc>
          <w:tcPr>
            <w:tcW w:w="652" w:type="pct"/>
            <w:shd w:val="clear" w:color="auto" w:fill="FFFFFF"/>
            <w:tcMar>
              <w:top w:w="0" w:type="dxa"/>
              <w:left w:w="0" w:type="dxa"/>
              <w:bottom w:w="0" w:type="dxa"/>
              <w:right w:w="0" w:type="dxa"/>
            </w:tcMar>
            <w:vAlign w:val="center"/>
          </w:tcPr>
          <w:p w14:paraId="0E28B60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788</w:t>
            </w:r>
          </w:p>
        </w:tc>
      </w:tr>
      <w:tr w:rsidR="004C3088" w:rsidRPr="00F92D87" w14:paraId="26153718" w14:textId="77777777" w:rsidTr="00F92D87">
        <w:trPr>
          <w:cantSplit/>
          <w:trHeight w:hRule="exact" w:val="360"/>
          <w:jc w:val="center"/>
        </w:trPr>
        <w:tc>
          <w:tcPr>
            <w:tcW w:w="1304" w:type="pct"/>
            <w:shd w:val="clear" w:color="auto" w:fill="FFFFFF"/>
            <w:tcMar>
              <w:top w:w="0" w:type="dxa"/>
              <w:left w:w="0" w:type="dxa"/>
              <w:bottom w:w="0" w:type="dxa"/>
              <w:right w:w="0" w:type="dxa"/>
            </w:tcMar>
            <w:vAlign w:val="center"/>
          </w:tcPr>
          <w:p w14:paraId="1D1BAE91"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 xml:space="preserve"> Harper McDermott </w:t>
            </w:r>
          </w:p>
        </w:tc>
        <w:tc>
          <w:tcPr>
            <w:tcW w:w="435" w:type="pct"/>
            <w:shd w:val="clear" w:color="auto" w:fill="FFFFFF"/>
            <w:tcMar>
              <w:top w:w="0" w:type="dxa"/>
              <w:left w:w="0" w:type="dxa"/>
              <w:bottom w:w="0" w:type="dxa"/>
              <w:right w:w="0" w:type="dxa"/>
            </w:tcMar>
            <w:vAlign w:val="center"/>
          </w:tcPr>
          <w:p w14:paraId="4A04AF6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1,016</w:t>
            </w:r>
          </w:p>
        </w:tc>
        <w:tc>
          <w:tcPr>
            <w:tcW w:w="652" w:type="pct"/>
            <w:shd w:val="clear" w:color="auto" w:fill="FFFFFF"/>
            <w:tcMar>
              <w:top w:w="0" w:type="dxa"/>
              <w:left w:w="0" w:type="dxa"/>
              <w:bottom w:w="0" w:type="dxa"/>
              <w:right w:w="0" w:type="dxa"/>
            </w:tcMar>
            <w:vAlign w:val="center"/>
          </w:tcPr>
          <w:p w14:paraId="30C96A7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181</w:t>
            </w:r>
          </w:p>
        </w:tc>
        <w:tc>
          <w:tcPr>
            <w:tcW w:w="652" w:type="pct"/>
            <w:shd w:val="clear" w:color="auto" w:fill="FFFFFF"/>
            <w:tcMar>
              <w:top w:w="0" w:type="dxa"/>
              <w:left w:w="0" w:type="dxa"/>
              <w:bottom w:w="0" w:type="dxa"/>
              <w:right w:w="0" w:type="dxa"/>
            </w:tcMar>
            <w:vAlign w:val="center"/>
          </w:tcPr>
          <w:p w14:paraId="3A05461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102</w:t>
            </w:r>
          </w:p>
        </w:tc>
        <w:tc>
          <w:tcPr>
            <w:tcW w:w="652" w:type="pct"/>
            <w:shd w:val="clear" w:color="auto" w:fill="FFFFFF"/>
            <w:tcMar>
              <w:top w:w="0" w:type="dxa"/>
              <w:left w:w="0" w:type="dxa"/>
              <w:bottom w:w="0" w:type="dxa"/>
              <w:right w:w="0" w:type="dxa"/>
            </w:tcMar>
            <w:vAlign w:val="center"/>
          </w:tcPr>
          <w:p w14:paraId="775EE6C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20</w:t>
            </w:r>
          </w:p>
        </w:tc>
        <w:tc>
          <w:tcPr>
            <w:tcW w:w="652" w:type="pct"/>
            <w:shd w:val="clear" w:color="auto" w:fill="FFFFFF"/>
            <w:tcMar>
              <w:top w:w="0" w:type="dxa"/>
              <w:left w:w="0" w:type="dxa"/>
              <w:bottom w:w="0" w:type="dxa"/>
              <w:right w:w="0" w:type="dxa"/>
            </w:tcMar>
            <w:vAlign w:val="center"/>
          </w:tcPr>
          <w:p w14:paraId="0EC834E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26</w:t>
            </w:r>
          </w:p>
        </w:tc>
        <w:tc>
          <w:tcPr>
            <w:tcW w:w="652" w:type="pct"/>
            <w:shd w:val="clear" w:color="auto" w:fill="FFFFFF"/>
            <w:tcMar>
              <w:top w:w="0" w:type="dxa"/>
              <w:left w:w="0" w:type="dxa"/>
              <w:bottom w:w="0" w:type="dxa"/>
              <w:right w:w="0" w:type="dxa"/>
            </w:tcMar>
            <w:vAlign w:val="center"/>
          </w:tcPr>
          <w:p w14:paraId="31A1C52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w:t>
            </w:r>
          </w:p>
        </w:tc>
      </w:tr>
      <w:tr w:rsidR="004C3088" w:rsidRPr="00F92D87" w14:paraId="43E00666" w14:textId="77777777" w:rsidTr="00F92D87">
        <w:trPr>
          <w:cantSplit/>
          <w:trHeight w:hRule="exact" w:val="360"/>
          <w:jc w:val="center"/>
        </w:trPr>
        <w:tc>
          <w:tcPr>
            <w:tcW w:w="1304" w:type="pct"/>
            <w:shd w:val="clear" w:color="auto" w:fill="FFFFFF"/>
            <w:tcMar>
              <w:top w:w="0" w:type="dxa"/>
              <w:left w:w="0" w:type="dxa"/>
              <w:bottom w:w="0" w:type="dxa"/>
              <w:right w:w="0" w:type="dxa"/>
            </w:tcMar>
            <w:vAlign w:val="center"/>
          </w:tcPr>
          <w:p w14:paraId="16EF69F7"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 xml:space="preserve"> Interpath Advisory</w:t>
            </w:r>
          </w:p>
        </w:tc>
        <w:tc>
          <w:tcPr>
            <w:tcW w:w="435" w:type="pct"/>
            <w:shd w:val="clear" w:color="auto" w:fill="FFFFFF"/>
            <w:tcMar>
              <w:top w:w="0" w:type="dxa"/>
              <w:left w:w="0" w:type="dxa"/>
              <w:bottom w:w="0" w:type="dxa"/>
              <w:right w:w="0" w:type="dxa"/>
            </w:tcMar>
            <w:vAlign w:val="center"/>
          </w:tcPr>
          <w:p w14:paraId="79C0DED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290</w:t>
            </w:r>
          </w:p>
        </w:tc>
        <w:tc>
          <w:tcPr>
            <w:tcW w:w="652" w:type="pct"/>
            <w:shd w:val="clear" w:color="auto" w:fill="FFFFFF"/>
            <w:tcMar>
              <w:top w:w="0" w:type="dxa"/>
              <w:left w:w="0" w:type="dxa"/>
              <w:bottom w:w="0" w:type="dxa"/>
              <w:right w:w="0" w:type="dxa"/>
            </w:tcMar>
            <w:vAlign w:val="center"/>
          </w:tcPr>
          <w:p w14:paraId="77314A6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124</w:t>
            </w:r>
          </w:p>
        </w:tc>
        <w:tc>
          <w:tcPr>
            <w:tcW w:w="652" w:type="pct"/>
            <w:shd w:val="clear" w:color="auto" w:fill="FFFFFF"/>
            <w:tcMar>
              <w:top w:w="0" w:type="dxa"/>
              <w:left w:w="0" w:type="dxa"/>
              <w:bottom w:w="0" w:type="dxa"/>
              <w:right w:w="0" w:type="dxa"/>
            </w:tcMar>
            <w:vAlign w:val="center"/>
          </w:tcPr>
          <w:p w14:paraId="39000DB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51</w:t>
            </w:r>
          </w:p>
        </w:tc>
        <w:tc>
          <w:tcPr>
            <w:tcW w:w="652" w:type="pct"/>
            <w:shd w:val="clear" w:color="auto" w:fill="FFFFFF"/>
            <w:tcMar>
              <w:top w:w="0" w:type="dxa"/>
              <w:left w:w="0" w:type="dxa"/>
              <w:bottom w:w="0" w:type="dxa"/>
              <w:right w:w="0" w:type="dxa"/>
            </w:tcMar>
            <w:vAlign w:val="center"/>
          </w:tcPr>
          <w:p w14:paraId="521BC7A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20</w:t>
            </w:r>
          </w:p>
        </w:tc>
        <w:tc>
          <w:tcPr>
            <w:tcW w:w="652" w:type="pct"/>
            <w:shd w:val="clear" w:color="auto" w:fill="FFFFFF"/>
            <w:tcMar>
              <w:top w:w="0" w:type="dxa"/>
              <w:left w:w="0" w:type="dxa"/>
              <w:bottom w:w="0" w:type="dxa"/>
              <w:right w:w="0" w:type="dxa"/>
            </w:tcMar>
            <w:vAlign w:val="center"/>
          </w:tcPr>
          <w:p w14:paraId="0EC824A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29</w:t>
            </w:r>
          </w:p>
        </w:tc>
        <w:tc>
          <w:tcPr>
            <w:tcW w:w="652" w:type="pct"/>
            <w:shd w:val="clear" w:color="auto" w:fill="FFFFFF"/>
            <w:tcMar>
              <w:top w:w="0" w:type="dxa"/>
              <w:left w:w="0" w:type="dxa"/>
              <w:bottom w:w="0" w:type="dxa"/>
              <w:right w:w="0" w:type="dxa"/>
            </w:tcMar>
            <w:vAlign w:val="center"/>
          </w:tcPr>
          <w:p w14:paraId="2F329DE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w:t>
            </w:r>
          </w:p>
        </w:tc>
      </w:tr>
      <w:tr w:rsidR="004C3088" w:rsidRPr="00F92D87" w14:paraId="63BB9293" w14:textId="77777777" w:rsidTr="00F92D87">
        <w:trPr>
          <w:cantSplit/>
          <w:trHeight w:hRule="exact" w:val="360"/>
          <w:jc w:val="center"/>
        </w:trPr>
        <w:tc>
          <w:tcPr>
            <w:tcW w:w="1304" w:type="pct"/>
            <w:shd w:val="clear" w:color="auto" w:fill="FFFFFF"/>
            <w:tcMar>
              <w:top w:w="0" w:type="dxa"/>
              <w:left w:w="0" w:type="dxa"/>
              <w:bottom w:w="0" w:type="dxa"/>
              <w:right w:w="0" w:type="dxa"/>
            </w:tcMar>
            <w:vAlign w:val="center"/>
          </w:tcPr>
          <w:p w14:paraId="04625757"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 xml:space="preserve"> Azets</w:t>
            </w:r>
          </w:p>
        </w:tc>
        <w:tc>
          <w:tcPr>
            <w:tcW w:w="435" w:type="pct"/>
            <w:shd w:val="clear" w:color="auto" w:fill="FFFFFF"/>
            <w:tcMar>
              <w:top w:w="0" w:type="dxa"/>
              <w:left w:w="0" w:type="dxa"/>
              <w:bottom w:w="0" w:type="dxa"/>
              <w:right w:w="0" w:type="dxa"/>
            </w:tcMar>
            <w:vAlign w:val="center"/>
          </w:tcPr>
          <w:p w14:paraId="4BBD67B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163</w:t>
            </w:r>
          </w:p>
        </w:tc>
        <w:tc>
          <w:tcPr>
            <w:tcW w:w="652" w:type="pct"/>
            <w:shd w:val="clear" w:color="auto" w:fill="FFFFFF"/>
            <w:tcMar>
              <w:top w:w="0" w:type="dxa"/>
              <w:left w:w="0" w:type="dxa"/>
              <w:bottom w:w="0" w:type="dxa"/>
              <w:right w:w="0" w:type="dxa"/>
            </w:tcMar>
            <w:vAlign w:val="center"/>
          </w:tcPr>
          <w:p w14:paraId="3C41B44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30</w:t>
            </w:r>
          </w:p>
        </w:tc>
        <w:tc>
          <w:tcPr>
            <w:tcW w:w="652" w:type="pct"/>
            <w:shd w:val="clear" w:color="auto" w:fill="FFFFFF"/>
            <w:tcMar>
              <w:top w:w="0" w:type="dxa"/>
              <w:left w:w="0" w:type="dxa"/>
              <w:bottom w:w="0" w:type="dxa"/>
              <w:right w:w="0" w:type="dxa"/>
            </w:tcMar>
            <w:vAlign w:val="center"/>
          </w:tcPr>
          <w:p w14:paraId="3FADA98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25</w:t>
            </w:r>
          </w:p>
        </w:tc>
        <w:tc>
          <w:tcPr>
            <w:tcW w:w="652" w:type="pct"/>
            <w:shd w:val="clear" w:color="auto" w:fill="FFFFFF"/>
            <w:tcMar>
              <w:top w:w="0" w:type="dxa"/>
              <w:left w:w="0" w:type="dxa"/>
              <w:bottom w:w="0" w:type="dxa"/>
              <w:right w:w="0" w:type="dxa"/>
            </w:tcMar>
            <w:vAlign w:val="center"/>
          </w:tcPr>
          <w:p w14:paraId="044CD66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w:t>
            </w:r>
          </w:p>
        </w:tc>
        <w:tc>
          <w:tcPr>
            <w:tcW w:w="652" w:type="pct"/>
            <w:shd w:val="clear" w:color="auto" w:fill="FFFFFF"/>
            <w:tcMar>
              <w:top w:w="0" w:type="dxa"/>
              <w:left w:w="0" w:type="dxa"/>
              <w:bottom w:w="0" w:type="dxa"/>
              <w:right w:w="0" w:type="dxa"/>
            </w:tcMar>
            <w:vAlign w:val="center"/>
          </w:tcPr>
          <w:p w14:paraId="12C97EF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29</w:t>
            </w:r>
          </w:p>
        </w:tc>
        <w:tc>
          <w:tcPr>
            <w:tcW w:w="652" w:type="pct"/>
            <w:shd w:val="clear" w:color="auto" w:fill="FFFFFF"/>
            <w:tcMar>
              <w:top w:w="0" w:type="dxa"/>
              <w:left w:w="0" w:type="dxa"/>
              <w:bottom w:w="0" w:type="dxa"/>
              <w:right w:w="0" w:type="dxa"/>
            </w:tcMar>
            <w:vAlign w:val="center"/>
          </w:tcPr>
          <w:p w14:paraId="57188BE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w:t>
            </w:r>
          </w:p>
        </w:tc>
      </w:tr>
      <w:tr w:rsidR="004C3088" w:rsidRPr="00F92D87" w14:paraId="3800E6A0" w14:textId="77777777" w:rsidTr="00F92D87">
        <w:trPr>
          <w:cantSplit/>
          <w:trHeight w:hRule="exact" w:val="360"/>
          <w:jc w:val="center"/>
        </w:trPr>
        <w:tc>
          <w:tcPr>
            <w:tcW w:w="1304" w:type="pct"/>
            <w:shd w:val="clear" w:color="auto" w:fill="FFFFFF"/>
            <w:tcMar>
              <w:top w:w="0" w:type="dxa"/>
              <w:left w:w="0" w:type="dxa"/>
              <w:bottom w:w="0" w:type="dxa"/>
              <w:right w:w="0" w:type="dxa"/>
            </w:tcMar>
            <w:vAlign w:val="center"/>
          </w:tcPr>
          <w:p w14:paraId="2DF30F0F"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 xml:space="preserve"> Begbies Traynor</w:t>
            </w:r>
          </w:p>
        </w:tc>
        <w:tc>
          <w:tcPr>
            <w:tcW w:w="435" w:type="pct"/>
            <w:shd w:val="clear" w:color="auto" w:fill="FFFFFF"/>
            <w:tcMar>
              <w:top w:w="0" w:type="dxa"/>
              <w:left w:w="0" w:type="dxa"/>
              <w:bottom w:w="0" w:type="dxa"/>
              <w:right w:w="0" w:type="dxa"/>
            </w:tcMar>
            <w:vAlign w:val="center"/>
          </w:tcPr>
          <w:p w14:paraId="60957D6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145</w:t>
            </w:r>
          </w:p>
        </w:tc>
        <w:tc>
          <w:tcPr>
            <w:tcW w:w="652" w:type="pct"/>
            <w:shd w:val="clear" w:color="auto" w:fill="FFFFFF"/>
            <w:tcMar>
              <w:top w:w="0" w:type="dxa"/>
              <w:left w:w="0" w:type="dxa"/>
              <w:bottom w:w="0" w:type="dxa"/>
              <w:right w:w="0" w:type="dxa"/>
            </w:tcMar>
            <w:vAlign w:val="center"/>
          </w:tcPr>
          <w:p w14:paraId="61F7BE4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41</w:t>
            </w:r>
          </w:p>
        </w:tc>
        <w:tc>
          <w:tcPr>
            <w:tcW w:w="652" w:type="pct"/>
            <w:shd w:val="clear" w:color="auto" w:fill="FFFFFF"/>
            <w:tcMar>
              <w:top w:w="0" w:type="dxa"/>
              <w:left w:w="0" w:type="dxa"/>
              <w:bottom w:w="0" w:type="dxa"/>
              <w:right w:w="0" w:type="dxa"/>
            </w:tcMar>
            <w:vAlign w:val="center"/>
          </w:tcPr>
          <w:p w14:paraId="784C04B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18</w:t>
            </w:r>
          </w:p>
        </w:tc>
        <w:tc>
          <w:tcPr>
            <w:tcW w:w="652" w:type="pct"/>
            <w:shd w:val="clear" w:color="auto" w:fill="FFFFFF"/>
            <w:tcMar>
              <w:top w:w="0" w:type="dxa"/>
              <w:left w:w="0" w:type="dxa"/>
              <w:bottom w:w="0" w:type="dxa"/>
              <w:right w:w="0" w:type="dxa"/>
            </w:tcMar>
            <w:vAlign w:val="center"/>
          </w:tcPr>
          <w:p w14:paraId="175E70B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17</w:t>
            </w:r>
          </w:p>
        </w:tc>
        <w:tc>
          <w:tcPr>
            <w:tcW w:w="652" w:type="pct"/>
            <w:shd w:val="clear" w:color="auto" w:fill="FFFFFF"/>
            <w:tcMar>
              <w:top w:w="0" w:type="dxa"/>
              <w:left w:w="0" w:type="dxa"/>
              <w:bottom w:w="0" w:type="dxa"/>
              <w:right w:w="0" w:type="dxa"/>
            </w:tcMar>
            <w:vAlign w:val="center"/>
          </w:tcPr>
          <w:p w14:paraId="1D1632C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20</w:t>
            </w:r>
          </w:p>
        </w:tc>
        <w:tc>
          <w:tcPr>
            <w:tcW w:w="652" w:type="pct"/>
            <w:shd w:val="clear" w:color="auto" w:fill="FFFFFF"/>
            <w:tcMar>
              <w:top w:w="0" w:type="dxa"/>
              <w:left w:w="0" w:type="dxa"/>
              <w:bottom w:w="0" w:type="dxa"/>
              <w:right w:w="0" w:type="dxa"/>
            </w:tcMar>
            <w:vAlign w:val="center"/>
          </w:tcPr>
          <w:p w14:paraId="77A60B0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11</w:t>
            </w:r>
          </w:p>
        </w:tc>
      </w:tr>
      <w:tr w:rsidR="004C3088" w:rsidRPr="00F92D87" w14:paraId="171C635E" w14:textId="77777777" w:rsidTr="00F92D87">
        <w:trPr>
          <w:cantSplit/>
          <w:trHeight w:hRule="exact" w:val="360"/>
          <w:jc w:val="center"/>
        </w:trPr>
        <w:tc>
          <w:tcPr>
            <w:tcW w:w="1304" w:type="pct"/>
            <w:shd w:val="clear" w:color="auto" w:fill="FFFFFF"/>
            <w:tcMar>
              <w:top w:w="0" w:type="dxa"/>
              <w:left w:w="0" w:type="dxa"/>
              <w:bottom w:w="0" w:type="dxa"/>
              <w:right w:w="0" w:type="dxa"/>
            </w:tcMar>
            <w:vAlign w:val="center"/>
          </w:tcPr>
          <w:p w14:paraId="159C6A0F"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 xml:space="preserve"> Wylie &amp; Bisset</w:t>
            </w:r>
          </w:p>
        </w:tc>
        <w:tc>
          <w:tcPr>
            <w:tcW w:w="435" w:type="pct"/>
            <w:shd w:val="clear" w:color="auto" w:fill="FFFFFF"/>
            <w:tcMar>
              <w:top w:w="0" w:type="dxa"/>
              <w:left w:w="0" w:type="dxa"/>
              <w:bottom w:w="0" w:type="dxa"/>
              <w:right w:w="0" w:type="dxa"/>
            </w:tcMar>
            <w:vAlign w:val="center"/>
          </w:tcPr>
          <w:p w14:paraId="2C9D847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138</w:t>
            </w:r>
          </w:p>
        </w:tc>
        <w:tc>
          <w:tcPr>
            <w:tcW w:w="652" w:type="pct"/>
            <w:shd w:val="clear" w:color="auto" w:fill="FFFFFF"/>
            <w:tcMar>
              <w:top w:w="0" w:type="dxa"/>
              <w:left w:w="0" w:type="dxa"/>
              <w:bottom w:w="0" w:type="dxa"/>
              <w:right w:w="0" w:type="dxa"/>
            </w:tcMar>
            <w:vAlign w:val="center"/>
          </w:tcPr>
          <w:p w14:paraId="31EE7F0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27</w:t>
            </w:r>
          </w:p>
        </w:tc>
        <w:tc>
          <w:tcPr>
            <w:tcW w:w="652" w:type="pct"/>
            <w:shd w:val="clear" w:color="auto" w:fill="FFFFFF"/>
            <w:tcMar>
              <w:top w:w="0" w:type="dxa"/>
              <w:left w:w="0" w:type="dxa"/>
              <w:bottom w:w="0" w:type="dxa"/>
              <w:right w:w="0" w:type="dxa"/>
            </w:tcMar>
            <w:vAlign w:val="center"/>
          </w:tcPr>
          <w:p w14:paraId="258AF35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23</w:t>
            </w:r>
          </w:p>
        </w:tc>
        <w:tc>
          <w:tcPr>
            <w:tcW w:w="652" w:type="pct"/>
            <w:shd w:val="clear" w:color="auto" w:fill="FFFFFF"/>
            <w:tcMar>
              <w:top w:w="0" w:type="dxa"/>
              <w:left w:w="0" w:type="dxa"/>
              <w:bottom w:w="0" w:type="dxa"/>
              <w:right w:w="0" w:type="dxa"/>
            </w:tcMar>
            <w:vAlign w:val="center"/>
          </w:tcPr>
          <w:p w14:paraId="5EA5863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w:t>
            </w:r>
          </w:p>
        </w:tc>
        <w:tc>
          <w:tcPr>
            <w:tcW w:w="652" w:type="pct"/>
            <w:shd w:val="clear" w:color="auto" w:fill="FFFFFF"/>
            <w:tcMar>
              <w:top w:w="0" w:type="dxa"/>
              <w:left w:w="0" w:type="dxa"/>
              <w:bottom w:w="0" w:type="dxa"/>
              <w:right w:w="0" w:type="dxa"/>
            </w:tcMar>
            <w:vAlign w:val="center"/>
          </w:tcPr>
          <w:p w14:paraId="0F1A449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27</w:t>
            </w:r>
          </w:p>
        </w:tc>
        <w:tc>
          <w:tcPr>
            <w:tcW w:w="652" w:type="pct"/>
            <w:shd w:val="clear" w:color="auto" w:fill="FFFFFF"/>
            <w:tcMar>
              <w:top w:w="0" w:type="dxa"/>
              <w:left w:w="0" w:type="dxa"/>
              <w:bottom w:w="0" w:type="dxa"/>
              <w:right w:w="0" w:type="dxa"/>
            </w:tcMar>
            <w:vAlign w:val="center"/>
          </w:tcPr>
          <w:p w14:paraId="7DC55A0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9</w:t>
            </w:r>
          </w:p>
        </w:tc>
      </w:tr>
      <w:tr w:rsidR="004C3088" w:rsidRPr="00F92D87" w14:paraId="6616045F" w14:textId="77777777" w:rsidTr="00F92D87">
        <w:trPr>
          <w:cantSplit/>
          <w:trHeight w:hRule="exact" w:val="360"/>
          <w:jc w:val="center"/>
        </w:trPr>
        <w:tc>
          <w:tcPr>
            <w:tcW w:w="1304" w:type="pct"/>
            <w:shd w:val="clear" w:color="auto" w:fill="FFFFFF"/>
            <w:tcMar>
              <w:top w:w="0" w:type="dxa"/>
              <w:left w:w="0" w:type="dxa"/>
              <w:bottom w:w="0" w:type="dxa"/>
              <w:right w:w="0" w:type="dxa"/>
            </w:tcMar>
            <w:vAlign w:val="center"/>
          </w:tcPr>
          <w:p w14:paraId="371CBAEE"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 xml:space="preserve"> Hanover Insolvency </w:t>
            </w:r>
          </w:p>
        </w:tc>
        <w:tc>
          <w:tcPr>
            <w:tcW w:w="435" w:type="pct"/>
            <w:shd w:val="clear" w:color="auto" w:fill="FFFFFF"/>
            <w:tcMar>
              <w:top w:w="0" w:type="dxa"/>
              <w:left w:w="0" w:type="dxa"/>
              <w:bottom w:w="0" w:type="dxa"/>
              <w:right w:w="0" w:type="dxa"/>
            </w:tcMar>
            <w:vAlign w:val="center"/>
          </w:tcPr>
          <w:p w14:paraId="643C15A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103</w:t>
            </w:r>
          </w:p>
        </w:tc>
        <w:tc>
          <w:tcPr>
            <w:tcW w:w="652" w:type="pct"/>
            <w:shd w:val="clear" w:color="auto" w:fill="FFFFFF"/>
            <w:tcMar>
              <w:top w:w="0" w:type="dxa"/>
              <w:left w:w="0" w:type="dxa"/>
              <w:bottom w:w="0" w:type="dxa"/>
              <w:right w:w="0" w:type="dxa"/>
            </w:tcMar>
            <w:vAlign w:val="center"/>
          </w:tcPr>
          <w:p w14:paraId="70167AC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13</w:t>
            </w:r>
          </w:p>
        </w:tc>
        <w:tc>
          <w:tcPr>
            <w:tcW w:w="652" w:type="pct"/>
            <w:shd w:val="clear" w:color="auto" w:fill="FFFFFF"/>
            <w:tcMar>
              <w:top w:w="0" w:type="dxa"/>
              <w:left w:w="0" w:type="dxa"/>
              <w:bottom w:w="0" w:type="dxa"/>
              <w:right w:w="0" w:type="dxa"/>
            </w:tcMar>
            <w:vAlign w:val="center"/>
          </w:tcPr>
          <w:p w14:paraId="29722F5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13</w:t>
            </w:r>
          </w:p>
        </w:tc>
        <w:tc>
          <w:tcPr>
            <w:tcW w:w="652" w:type="pct"/>
            <w:shd w:val="clear" w:color="auto" w:fill="FFFFFF"/>
            <w:tcMar>
              <w:top w:w="0" w:type="dxa"/>
              <w:left w:w="0" w:type="dxa"/>
              <w:bottom w:w="0" w:type="dxa"/>
              <w:right w:w="0" w:type="dxa"/>
            </w:tcMar>
            <w:vAlign w:val="center"/>
          </w:tcPr>
          <w:p w14:paraId="1C8E014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w:t>
            </w:r>
          </w:p>
        </w:tc>
        <w:tc>
          <w:tcPr>
            <w:tcW w:w="652" w:type="pct"/>
            <w:shd w:val="clear" w:color="auto" w:fill="FFFFFF"/>
            <w:tcMar>
              <w:top w:w="0" w:type="dxa"/>
              <w:left w:w="0" w:type="dxa"/>
              <w:bottom w:w="0" w:type="dxa"/>
              <w:right w:w="0" w:type="dxa"/>
            </w:tcMar>
            <w:vAlign w:val="center"/>
          </w:tcPr>
          <w:p w14:paraId="0ED3EC3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w:t>
            </w:r>
          </w:p>
        </w:tc>
        <w:tc>
          <w:tcPr>
            <w:tcW w:w="652" w:type="pct"/>
            <w:shd w:val="clear" w:color="auto" w:fill="FFFFFF"/>
            <w:tcMar>
              <w:top w:w="0" w:type="dxa"/>
              <w:left w:w="0" w:type="dxa"/>
              <w:bottom w:w="0" w:type="dxa"/>
              <w:right w:w="0" w:type="dxa"/>
            </w:tcMar>
            <w:vAlign w:val="center"/>
          </w:tcPr>
          <w:p w14:paraId="731ACC2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w:t>
            </w:r>
          </w:p>
        </w:tc>
      </w:tr>
      <w:tr w:rsidR="004C3088" w:rsidRPr="00F92D87" w14:paraId="352EF78A" w14:textId="77777777" w:rsidTr="00F92D87">
        <w:trPr>
          <w:cantSplit/>
          <w:trHeight w:hRule="exact" w:val="360"/>
          <w:jc w:val="center"/>
        </w:trPr>
        <w:tc>
          <w:tcPr>
            <w:tcW w:w="1304" w:type="pct"/>
            <w:shd w:val="clear" w:color="auto" w:fill="FFFFFF"/>
            <w:tcMar>
              <w:top w:w="0" w:type="dxa"/>
              <w:left w:w="0" w:type="dxa"/>
              <w:bottom w:w="0" w:type="dxa"/>
              <w:right w:w="0" w:type="dxa"/>
            </w:tcMar>
            <w:vAlign w:val="center"/>
          </w:tcPr>
          <w:p w14:paraId="75B2B069"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 xml:space="preserve"> Payplan Scotland</w:t>
            </w:r>
          </w:p>
        </w:tc>
        <w:tc>
          <w:tcPr>
            <w:tcW w:w="435" w:type="pct"/>
            <w:shd w:val="clear" w:color="auto" w:fill="FFFFFF"/>
            <w:tcMar>
              <w:top w:w="0" w:type="dxa"/>
              <w:left w:w="0" w:type="dxa"/>
              <w:bottom w:w="0" w:type="dxa"/>
              <w:right w:w="0" w:type="dxa"/>
            </w:tcMar>
            <w:vAlign w:val="center"/>
          </w:tcPr>
          <w:p w14:paraId="6326AEA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83</w:t>
            </w:r>
          </w:p>
        </w:tc>
        <w:tc>
          <w:tcPr>
            <w:tcW w:w="652" w:type="pct"/>
            <w:shd w:val="clear" w:color="auto" w:fill="FFFFFF"/>
            <w:tcMar>
              <w:top w:w="0" w:type="dxa"/>
              <w:left w:w="0" w:type="dxa"/>
              <w:bottom w:w="0" w:type="dxa"/>
              <w:right w:w="0" w:type="dxa"/>
            </w:tcMar>
            <w:vAlign w:val="center"/>
          </w:tcPr>
          <w:p w14:paraId="5E07C02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w:t>
            </w:r>
          </w:p>
        </w:tc>
        <w:tc>
          <w:tcPr>
            <w:tcW w:w="652" w:type="pct"/>
            <w:shd w:val="clear" w:color="auto" w:fill="FFFFFF"/>
            <w:tcMar>
              <w:top w:w="0" w:type="dxa"/>
              <w:left w:w="0" w:type="dxa"/>
              <w:bottom w:w="0" w:type="dxa"/>
              <w:right w:w="0" w:type="dxa"/>
            </w:tcMar>
            <w:vAlign w:val="center"/>
          </w:tcPr>
          <w:p w14:paraId="6A63261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w:t>
            </w:r>
          </w:p>
        </w:tc>
        <w:tc>
          <w:tcPr>
            <w:tcW w:w="652" w:type="pct"/>
            <w:shd w:val="clear" w:color="auto" w:fill="FFFFFF"/>
            <w:tcMar>
              <w:top w:w="0" w:type="dxa"/>
              <w:left w:w="0" w:type="dxa"/>
              <w:bottom w:w="0" w:type="dxa"/>
              <w:right w:w="0" w:type="dxa"/>
            </w:tcMar>
            <w:vAlign w:val="center"/>
          </w:tcPr>
          <w:p w14:paraId="78B9AB6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24</w:t>
            </w:r>
          </w:p>
        </w:tc>
        <w:tc>
          <w:tcPr>
            <w:tcW w:w="652" w:type="pct"/>
            <w:shd w:val="clear" w:color="auto" w:fill="FFFFFF"/>
            <w:tcMar>
              <w:top w:w="0" w:type="dxa"/>
              <w:left w:w="0" w:type="dxa"/>
              <w:bottom w:w="0" w:type="dxa"/>
              <w:right w:w="0" w:type="dxa"/>
            </w:tcMar>
            <w:vAlign w:val="center"/>
          </w:tcPr>
          <w:p w14:paraId="05F1873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28</w:t>
            </w:r>
          </w:p>
        </w:tc>
        <w:tc>
          <w:tcPr>
            <w:tcW w:w="652" w:type="pct"/>
            <w:shd w:val="clear" w:color="auto" w:fill="FFFFFF"/>
            <w:tcMar>
              <w:top w:w="0" w:type="dxa"/>
              <w:left w:w="0" w:type="dxa"/>
              <w:bottom w:w="0" w:type="dxa"/>
              <w:right w:w="0" w:type="dxa"/>
            </w:tcMar>
            <w:vAlign w:val="center"/>
          </w:tcPr>
          <w:p w14:paraId="1DDCA83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13</w:t>
            </w:r>
          </w:p>
        </w:tc>
      </w:tr>
      <w:tr w:rsidR="004C3088" w:rsidRPr="00F92D87" w14:paraId="45A44B71" w14:textId="77777777" w:rsidTr="00F92D87">
        <w:trPr>
          <w:cantSplit/>
          <w:trHeight w:hRule="exact" w:val="360"/>
          <w:jc w:val="center"/>
        </w:trPr>
        <w:tc>
          <w:tcPr>
            <w:tcW w:w="1304" w:type="pct"/>
            <w:shd w:val="clear" w:color="auto" w:fill="FFFFFF"/>
            <w:tcMar>
              <w:top w:w="0" w:type="dxa"/>
              <w:left w:w="0" w:type="dxa"/>
              <w:bottom w:w="0" w:type="dxa"/>
              <w:right w:w="0" w:type="dxa"/>
            </w:tcMar>
            <w:vAlign w:val="center"/>
          </w:tcPr>
          <w:p w14:paraId="65DB38A1"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 xml:space="preserve"> William Duncan</w:t>
            </w:r>
          </w:p>
        </w:tc>
        <w:tc>
          <w:tcPr>
            <w:tcW w:w="435" w:type="pct"/>
            <w:shd w:val="clear" w:color="auto" w:fill="FFFFFF"/>
            <w:tcMar>
              <w:top w:w="0" w:type="dxa"/>
              <w:left w:w="0" w:type="dxa"/>
              <w:bottom w:w="0" w:type="dxa"/>
              <w:right w:w="0" w:type="dxa"/>
            </w:tcMar>
            <w:vAlign w:val="center"/>
          </w:tcPr>
          <w:p w14:paraId="26186DF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55</w:t>
            </w:r>
          </w:p>
        </w:tc>
        <w:tc>
          <w:tcPr>
            <w:tcW w:w="652" w:type="pct"/>
            <w:shd w:val="clear" w:color="auto" w:fill="FFFFFF"/>
            <w:tcMar>
              <w:top w:w="0" w:type="dxa"/>
              <w:left w:w="0" w:type="dxa"/>
              <w:bottom w:w="0" w:type="dxa"/>
              <w:right w:w="0" w:type="dxa"/>
            </w:tcMar>
            <w:vAlign w:val="center"/>
          </w:tcPr>
          <w:p w14:paraId="123FE27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10</w:t>
            </w:r>
          </w:p>
        </w:tc>
        <w:tc>
          <w:tcPr>
            <w:tcW w:w="652" w:type="pct"/>
            <w:shd w:val="clear" w:color="auto" w:fill="FFFFFF"/>
            <w:tcMar>
              <w:top w:w="0" w:type="dxa"/>
              <w:left w:w="0" w:type="dxa"/>
              <w:bottom w:w="0" w:type="dxa"/>
              <w:right w:w="0" w:type="dxa"/>
            </w:tcMar>
            <w:vAlign w:val="center"/>
          </w:tcPr>
          <w:p w14:paraId="37DFD67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w:t>
            </w:r>
          </w:p>
        </w:tc>
        <w:tc>
          <w:tcPr>
            <w:tcW w:w="652" w:type="pct"/>
            <w:shd w:val="clear" w:color="auto" w:fill="FFFFFF"/>
            <w:tcMar>
              <w:top w:w="0" w:type="dxa"/>
              <w:left w:w="0" w:type="dxa"/>
              <w:bottom w:w="0" w:type="dxa"/>
              <w:right w:w="0" w:type="dxa"/>
            </w:tcMar>
            <w:vAlign w:val="center"/>
          </w:tcPr>
          <w:p w14:paraId="2134121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22</w:t>
            </w:r>
          </w:p>
        </w:tc>
        <w:tc>
          <w:tcPr>
            <w:tcW w:w="652" w:type="pct"/>
            <w:shd w:val="clear" w:color="auto" w:fill="FFFFFF"/>
            <w:tcMar>
              <w:top w:w="0" w:type="dxa"/>
              <w:left w:w="0" w:type="dxa"/>
              <w:bottom w:w="0" w:type="dxa"/>
              <w:right w:w="0" w:type="dxa"/>
            </w:tcMar>
            <w:vAlign w:val="center"/>
          </w:tcPr>
          <w:p w14:paraId="65A5C06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32</w:t>
            </w:r>
          </w:p>
        </w:tc>
        <w:tc>
          <w:tcPr>
            <w:tcW w:w="652" w:type="pct"/>
            <w:shd w:val="clear" w:color="auto" w:fill="FFFFFF"/>
            <w:tcMar>
              <w:top w:w="0" w:type="dxa"/>
              <w:left w:w="0" w:type="dxa"/>
              <w:bottom w:w="0" w:type="dxa"/>
              <w:right w:w="0" w:type="dxa"/>
            </w:tcMar>
            <w:vAlign w:val="center"/>
          </w:tcPr>
          <w:p w14:paraId="22D44D4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w:t>
            </w:r>
          </w:p>
        </w:tc>
      </w:tr>
      <w:tr w:rsidR="004C3088" w:rsidRPr="00F92D87" w14:paraId="34408DCB" w14:textId="77777777" w:rsidTr="00F92D87">
        <w:trPr>
          <w:cantSplit/>
          <w:trHeight w:hRule="exact" w:val="360"/>
          <w:jc w:val="center"/>
        </w:trPr>
        <w:tc>
          <w:tcPr>
            <w:tcW w:w="1304" w:type="pct"/>
            <w:shd w:val="clear" w:color="auto" w:fill="FFFFFF"/>
            <w:tcMar>
              <w:top w:w="0" w:type="dxa"/>
              <w:left w:w="0" w:type="dxa"/>
              <w:bottom w:w="0" w:type="dxa"/>
              <w:right w:w="0" w:type="dxa"/>
            </w:tcMar>
            <w:vAlign w:val="center"/>
          </w:tcPr>
          <w:p w14:paraId="4AEF1AEC"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 xml:space="preserve"> J3 Debt Solutions</w:t>
            </w:r>
          </w:p>
        </w:tc>
        <w:tc>
          <w:tcPr>
            <w:tcW w:w="435" w:type="pct"/>
            <w:shd w:val="clear" w:color="auto" w:fill="FFFFFF"/>
            <w:tcMar>
              <w:top w:w="0" w:type="dxa"/>
              <w:left w:w="0" w:type="dxa"/>
              <w:bottom w:w="0" w:type="dxa"/>
              <w:right w:w="0" w:type="dxa"/>
            </w:tcMar>
            <w:vAlign w:val="center"/>
          </w:tcPr>
          <w:p w14:paraId="51E8A6A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44</w:t>
            </w:r>
          </w:p>
        </w:tc>
        <w:tc>
          <w:tcPr>
            <w:tcW w:w="652" w:type="pct"/>
            <w:shd w:val="clear" w:color="auto" w:fill="FFFFFF"/>
            <w:tcMar>
              <w:top w:w="0" w:type="dxa"/>
              <w:left w:w="0" w:type="dxa"/>
              <w:bottom w:w="0" w:type="dxa"/>
              <w:right w:w="0" w:type="dxa"/>
            </w:tcMar>
            <w:vAlign w:val="center"/>
          </w:tcPr>
          <w:p w14:paraId="654E231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39</w:t>
            </w:r>
          </w:p>
        </w:tc>
        <w:tc>
          <w:tcPr>
            <w:tcW w:w="652" w:type="pct"/>
            <w:shd w:val="clear" w:color="auto" w:fill="FFFFFF"/>
            <w:tcMar>
              <w:top w:w="0" w:type="dxa"/>
              <w:left w:w="0" w:type="dxa"/>
              <w:bottom w:w="0" w:type="dxa"/>
              <w:right w:w="0" w:type="dxa"/>
            </w:tcMar>
            <w:vAlign w:val="center"/>
          </w:tcPr>
          <w:p w14:paraId="01A6168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39</w:t>
            </w:r>
          </w:p>
        </w:tc>
        <w:tc>
          <w:tcPr>
            <w:tcW w:w="652" w:type="pct"/>
            <w:shd w:val="clear" w:color="auto" w:fill="FFFFFF"/>
            <w:tcMar>
              <w:top w:w="0" w:type="dxa"/>
              <w:left w:w="0" w:type="dxa"/>
              <w:bottom w:w="0" w:type="dxa"/>
              <w:right w:w="0" w:type="dxa"/>
            </w:tcMar>
            <w:vAlign w:val="center"/>
          </w:tcPr>
          <w:p w14:paraId="5BBC2B9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22</w:t>
            </w:r>
          </w:p>
        </w:tc>
        <w:tc>
          <w:tcPr>
            <w:tcW w:w="652" w:type="pct"/>
            <w:shd w:val="clear" w:color="auto" w:fill="FFFFFF"/>
            <w:tcMar>
              <w:top w:w="0" w:type="dxa"/>
              <w:left w:w="0" w:type="dxa"/>
              <w:bottom w:w="0" w:type="dxa"/>
              <w:right w:w="0" w:type="dxa"/>
            </w:tcMar>
            <w:vAlign w:val="center"/>
          </w:tcPr>
          <w:p w14:paraId="5CE0155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92</w:t>
            </w:r>
          </w:p>
        </w:tc>
        <w:tc>
          <w:tcPr>
            <w:tcW w:w="652" w:type="pct"/>
            <w:shd w:val="clear" w:color="auto" w:fill="FFFFFF"/>
            <w:tcMar>
              <w:top w:w="0" w:type="dxa"/>
              <w:left w:w="0" w:type="dxa"/>
              <w:bottom w:w="0" w:type="dxa"/>
              <w:right w:w="0" w:type="dxa"/>
            </w:tcMar>
            <w:vAlign w:val="center"/>
          </w:tcPr>
          <w:p w14:paraId="1B9EC03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w:t>
            </w:r>
          </w:p>
        </w:tc>
      </w:tr>
      <w:tr w:rsidR="004C3088" w:rsidRPr="00F92D87" w14:paraId="7069AF1C" w14:textId="77777777" w:rsidTr="00F92D87">
        <w:trPr>
          <w:cantSplit/>
          <w:trHeight w:hRule="exact" w:val="360"/>
          <w:jc w:val="center"/>
        </w:trPr>
        <w:tc>
          <w:tcPr>
            <w:tcW w:w="1304" w:type="pct"/>
            <w:shd w:val="clear" w:color="auto" w:fill="FFFFFF"/>
            <w:tcMar>
              <w:top w:w="0" w:type="dxa"/>
              <w:left w:w="0" w:type="dxa"/>
              <w:bottom w:w="0" w:type="dxa"/>
              <w:right w:w="0" w:type="dxa"/>
            </w:tcMar>
            <w:vAlign w:val="center"/>
          </w:tcPr>
          <w:p w14:paraId="2B8C64BD"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 xml:space="preserve"> YEG Insolvency</w:t>
            </w:r>
          </w:p>
        </w:tc>
        <w:tc>
          <w:tcPr>
            <w:tcW w:w="435" w:type="pct"/>
            <w:shd w:val="clear" w:color="auto" w:fill="FFFFFF"/>
            <w:tcMar>
              <w:top w:w="0" w:type="dxa"/>
              <w:left w:w="0" w:type="dxa"/>
              <w:bottom w:w="0" w:type="dxa"/>
              <w:right w:w="0" w:type="dxa"/>
            </w:tcMar>
            <w:vAlign w:val="center"/>
          </w:tcPr>
          <w:p w14:paraId="44015EC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40</w:t>
            </w:r>
          </w:p>
        </w:tc>
        <w:tc>
          <w:tcPr>
            <w:tcW w:w="652" w:type="pct"/>
            <w:shd w:val="clear" w:color="auto" w:fill="FFFFFF"/>
            <w:tcMar>
              <w:top w:w="0" w:type="dxa"/>
              <w:left w:w="0" w:type="dxa"/>
              <w:bottom w:w="0" w:type="dxa"/>
              <w:right w:w="0" w:type="dxa"/>
            </w:tcMar>
            <w:vAlign w:val="center"/>
          </w:tcPr>
          <w:p w14:paraId="039DFA5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30</w:t>
            </w:r>
          </w:p>
        </w:tc>
        <w:tc>
          <w:tcPr>
            <w:tcW w:w="652" w:type="pct"/>
            <w:shd w:val="clear" w:color="auto" w:fill="FFFFFF"/>
            <w:tcMar>
              <w:top w:w="0" w:type="dxa"/>
              <w:left w:w="0" w:type="dxa"/>
              <w:bottom w:w="0" w:type="dxa"/>
              <w:right w:w="0" w:type="dxa"/>
            </w:tcMar>
            <w:vAlign w:val="center"/>
          </w:tcPr>
          <w:p w14:paraId="5E9ACE9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30</w:t>
            </w:r>
          </w:p>
        </w:tc>
        <w:tc>
          <w:tcPr>
            <w:tcW w:w="652" w:type="pct"/>
            <w:shd w:val="clear" w:color="auto" w:fill="FFFFFF"/>
            <w:tcMar>
              <w:top w:w="0" w:type="dxa"/>
              <w:left w:w="0" w:type="dxa"/>
              <w:bottom w:w="0" w:type="dxa"/>
              <w:right w:w="0" w:type="dxa"/>
            </w:tcMar>
            <w:vAlign w:val="center"/>
          </w:tcPr>
          <w:p w14:paraId="73F3C2D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21</w:t>
            </w:r>
          </w:p>
        </w:tc>
        <w:tc>
          <w:tcPr>
            <w:tcW w:w="652" w:type="pct"/>
            <w:shd w:val="clear" w:color="auto" w:fill="FFFFFF"/>
            <w:tcMar>
              <w:top w:w="0" w:type="dxa"/>
              <w:left w:w="0" w:type="dxa"/>
              <w:bottom w:w="0" w:type="dxa"/>
              <w:right w:w="0" w:type="dxa"/>
            </w:tcMar>
            <w:vAlign w:val="center"/>
          </w:tcPr>
          <w:p w14:paraId="6987232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24</w:t>
            </w:r>
          </w:p>
        </w:tc>
        <w:tc>
          <w:tcPr>
            <w:tcW w:w="652" w:type="pct"/>
            <w:shd w:val="clear" w:color="auto" w:fill="FFFFFF"/>
            <w:tcMar>
              <w:top w:w="0" w:type="dxa"/>
              <w:left w:w="0" w:type="dxa"/>
              <w:bottom w:w="0" w:type="dxa"/>
              <w:right w:w="0" w:type="dxa"/>
            </w:tcMar>
            <w:vAlign w:val="center"/>
          </w:tcPr>
          <w:p w14:paraId="005C4FA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w:t>
            </w:r>
          </w:p>
        </w:tc>
      </w:tr>
      <w:tr w:rsidR="004C3088" w:rsidRPr="00F92D87" w14:paraId="62A08FA5" w14:textId="77777777" w:rsidTr="00F92D87">
        <w:trPr>
          <w:cantSplit/>
          <w:trHeight w:hRule="exact" w:val="360"/>
          <w:jc w:val="center"/>
        </w:trPr>
        <w:tc>
          <w:tcPr>
            <w:tcW w:w="1304" w:type="pct"/>
            <w:shd w:val="clear" w:color="auto" w:fill="FFFFFF"/>
            <w:tcMar>
              <w:top w:w="0" w:type="dxa"/>
              <w:left w:w="0" w:type="dxa"/>
              <w:bottom w:w="0" w:type="dxa"/>
              <w:right w:w="0" w:type="dxa"/>
            </w:tcMar>
            <w:vAlign w:val="center"/>
          </w:tcPr>
          <w:p w14:paraId="216FAA67"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 xml:space="preserve"> Others</w:t>
            </w:r>
          </w:p>
        </w:tc>
        <w:tc>
          <w:tcPr>
            <w:tcW w:w="435" w:type="pct"/>
            <w:shd w:val="clear" w:color="auto" w:fill="FFFFFF"/>
            <w:tcMar>
              <w:top w:w="0" w:type="dxa"/>
              <w:left w:w="0" w:type="dxa"/>
              <w:bottom w:w="0" w:type="dxa"/>
              <w:right w:w="0" w:type="dxa"/>
            </w:tcMar>
            <w:vAlign w:val="center"/>
          </w:tcPr>
          <w:p w14:paraId="53E9029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74</w:t>
            </w:r>
          </w:p>
        </w:tc>
        <w:tc>
          <w:tcPr>
            <w:tcW w:w="652" w:type="pct"/>
            <w:shd w:val="clear" w:color="auto" w:fill="FFFFFF"/>
            <w:tcMar>
              <w:top w:w="0" w:type="dxa"/>
              <w:left w:w="0" w:type="dxa"/>
              <w:bottom w:w="0" w:type="dxa"/>
              <w:right w:w="0" w:type="dxa"/>
            </w:tcMar>
            <w:vAlign w:val="center"/>
          </w:tcPr>
          <w:p w14:paraId="2D1443A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20</w:t>
            </w:r>
          </w:p>
        </w:tc>
        <w:tc>
          <w:tcPr>
            <w:tcW w:w="652" w:type="pct"/>
            <w:shd w:val="clear" w:color="auto" w:fill="FFFFFF"/>
            <w:tcMar>
              <w:top w:w="0" w:type="dxa"/>
              <w:left w:w="0" w:type="dxa"/>
              <w:bottom w:w="0" w:type="dxa"/>
              <w:right w:w="0" w:type="dxa"/>
            </w:tcMar>
            <w:vAlign w:val="center"/>
          </w:tcPr>
          <w:p w14:paraId="7D74226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w:t>
            </w:r>
          </w:p>
        </w:tc>
        <w:tc>
          <w:tcPr>
            <w:tcW w:w="652" w:type="pct"/>
            <w:shd w:val="clear" w:color="auto" w:fill="FFFFFF"/>
            <w:tcMar>
              <w:top w:w="0" w:type="dxa"/>
              <w:left w:w="0" w:type="dxa"/>
              <w:bottom w:w="0" w:type="dxa"/>
              <w:right w:w="0" w:type="dxa"/>
            </w:tcMar>
            <w:vAlign w:val="center"/>
          </w:tcPr>
          <w:p w14:paraId="6B57AC5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26</w:t>
            </w:r>
          </w:p>
        </w:tc>
        <w:tc>
          <w:tcPr>
            <w:tcW w:w="652" w:type="pct"/>
            <w:shd w:val="clear" w:color="auto" w:fill="FFFFFF"/>
            <w:tcMar>
              <w:top w:w="0" w:type="dxa"/>
              <w:left w:w="0" w:type="dxa"/>
              <w:bottom w:w="0" w:type="dxa"/>
              <w:right w:w="0" w:type="dxa"/>
            </w:tcMar>
            <w:vAlign w:val="center"/>
          </w:tcPr>
          <w:p w14:paraId="1D7C76C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31</w:t>
            </w:r>
          </w:p>
        </w:tc>
        <w:tc>
          <w:tcPr>
            <w:tcW w:w="652" w:type="pct"/>
            <w:shd w:val="clear" w:color="auto" w:fill="FFFFFF"/>
            <w:tcMar>
              <w:top w:w="0" w:type="dxa"/>
              <w:left w:w="0" w:type="dxa"/>
              <w:bottom w:w="0" w:type="dxa"/>
              <w:right w:w="0" w:type="dxa"/>
            </w:tcMar>
            <w:vAlign w:val="center"/>
          </w:tcPr>
          <w:p w14:paraId="4AE5880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13</w:t>
            </w:r>
          </w:p>
        </w:tc>
      </w:tr>
      <w:tr w:rsidR="004C3088" w:rsidRPr="00F92D87" w14:paraId="3FBB3A5F" w14:textId="77777777" w:rsidTr="00F92D87">
        <w:trPr>
          <w:cantSplit/>
          <w:trHeight w:hRule="exact" w:val="720"/>
          <w:jc w:val="center"/>
        </w:trPr>
        <w:tc>
          <w:tcPr>
            <w:tcW w:w="1304" w:type="pct"/>
            <w:shd w:val="clear" w:color="auto" w:fill="FFFFFF"/>
            <w:tcMar>
              <w:top w:w="0" w:type="dxa"/>
              <w:left w:w="0" w:type="dxa"/>
              <w:bottom w:w="0" w:type="dxa"/>
              <w:right w:w="0" w:type="dxa"/>
            </w:tcMar>
            <w:vAlign w:val="center"/>
          </w:tcPr>
          <w:p w14:paraId="44B386A1"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Number of approved Form 11</w:t>
            </w:r>
          </w:p>
        </w:tc>
        <w:tc>
          <w:tcPr>
            <w:tcW w:w="435" w:type="pct"/>
            <w:shd w:val="clear" w:color="auto" w:fill="FFFFFF"/>
            <w:tcMar>
              <w:top w:w="0" w:type="dxa"/>
              <w:left w:w="0" w:type="dxa"/>
              <w:bottom w:w="0" w:type="dxa"/>
              <w:right w:w="0" w:type="dxa"/>
            </w:tcMar>
            <w:vAlign w:val="center"/>
          </w:tcPr>
          <w:p w14:paraId="3640B89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w:t>
            </w:r>
          </w:p>
        </w:tc>
        <w:tc>
          <w:tcPr>
            <w:tcW w:w="652" w:type="pct"/>
            <w:shd w:val="clear" w:color="auto" w:fill="FFFFFF"/>
            <w:tcMar>
              <w:top w:w="0" w:type="dxa"/>
              <w:left w:w="0" w:type="dxa"/>
              <w:bottom w:w="0" w:type="dxa"/>
              <w:right w:w="0" w:type="dxa"/>
            </w:tcMar>
            <w:vAlign w:val="center"/>
          </w:tcPr>
          <w:p w14:paraId="6BF6341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w:t>
            </w:r>
          </w:p>
        </w:tc>
        <w:tc>
          <w:tcPr>
            <w:tcW w:w="652" w:type="pct"/>
            <w:shd w:val="clear" w:color="auto" w:fill="FFFFFF"/>
            <w:tcMar>
              <w:top w:w="0" w:type="dxa"/>
              <w:left w:w="0" w:type="dxa"/>
              <w:bottom w:w="0" w:type="dxa"/>
              <w:right w:w="0" w:type="dxa"/>
            </w:tcMar>
            <w:vAlign w:val="center"/>
          </w:tcPr>
          <w:p w14:paraId="5F3A7D1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[z]</w:t>
            </w:r>
          </w:p>
        </w:tc>
        <w:tc>
          <w:tcPr>
            <w:tcW w:w="652" w:type="pct"/>
            <w:shd w:val="clear" w:color="auto" w:fill="FFFFFF"/>
            <w:tcMar>
              <w:top w:w="0" w:type="dxa"/>
              <w:left w:w="0" w:type="dxa"/>
              <w:bottom w:w="0" w:type="dxa"/>
              <w:right w:w="0" w:type="dxa"/>
            </w:tcMar>
            <w:vAlign w:val="center"/>
          </w:tcPr>
          <w:p w14:paraId="61DE216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[z]</w:t>
            </w:r>
          </w:p>
        </w:tc>
        <w:tc>
          <w:tcPr>
            <w:tcW w:w="652" w:type="pct"/>
            <w:shd w:val="clear" w:color="auto" w:fill="FFFFFF"/>
            <w:tcMar>
              <w:top w:w="0" w:type="dxa"/>
              <w:left w:w="0" w:type="dxa"/>
              <w:bottom w:w="0" w:type="dxa"/>
              <w:right w:w="0" w:type="dxa"/>
            </w:tcMar>
            <w:vAlign w:val="center"/>
          </w:tcPr>
          <w:p w14:paraId="21B3D61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0</w:t>
            </w:r>
          </w:p>
        </w:tc>
        <w:tc>
          <w:tcPr>
            <w:tcW w:w="652" w:type="pct"/>
            <w:shd w:val="clear" w:color="auto" w:fill="FFFFFF"/>
            <w:tcMar>
              <w:top w:w="0" w:type="dxa"/>
              <w:left w:w="0" w:type="dxa"/>
              <w:bottom w:w="0" w:type="dxa"/>
              <w:right w:w="0" w:type="dxa"/>
            </w:tcMar>
            <w:vAlign w:val="center"/>
          </w:tcPr>
          <w:p w14:paraId="0B29054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[z]</w:t>
            </w:r>
          </w:p>
        </w:tc>
      </w:tr>
      <w:tr w:rsidR="004C3088" w:rsidRPr="00F92D87" w14:paraId="037AD133" w14:textId="77777777" w:rsidTr="00F92D87">
        <w:trPr>
          <w:cantSplit/>
          <w:jc w:val="center"/>
        </w:trPr>
        <w:tc>
          <w:tcPr>
            <w:tcW w:w="5000" w:type="pct"/>
            <w:gridSpan w:val="7"/>
            <w:tcBorders>
              <w:top w:val="single" w:sz="8" w:space="0" w:color="BEBEBE"/>
            </w:tcBorders>
            <w:shd w:val="clear" w:color="auto" w:fill="FFFFFF"/>
            <w:tcMar>
              <w:top w:w="0" w:type="dxa"/>
              <w:left w:w="0" w:type="dxa"/>
              <w:bottom w:w="0" w:type="dxa"/>
              <w:right w:w="0" w:type="dxa"/>
            </w:tcMar>
            <w:vAlign w:val="center"/>
          </w:tcPr>
          <w:p w14:paraId="0CBB2B5A" w14:textId="77777777" w:rsidR="004C3088" w:rsidRPr="00F92D87" w:rsidRDefault="002556CC">
            <w:pPr>
              <w:spacing w:after="0"/>
              <w:rPr>
                <w:rFonts w:ascii="Arial" w:hAnsi="Arial" w:cs="Arial"/>
                <w:sz w:val="22"/>
                <w:szCs w:val="22"/>
              </w:rPr>
            </w:pPr>
            <w:r w:rsidRPr="00F92D87">
              <w:rPr>
                <w:rFonts w:ascii="Arial" w:eastAsia="Arial" w:hAnsi="Arial" w:cs="Arial"/>
                <w:color w:val="000000"/>
                <w:sz w:val="22"/>
                <w:szCs w:val="22"/>
              </w:rPr>
              <w:t>Source: Accountant in Bankruptcy</w:t>
            </w:r>
          </w:p>
        </w:tc>
      </w:tr>
    </w:tbl>
    <w:p w14:paraId="19B8392B" w14:textId="77777777" w:rsidR="004C3088" w:rsidRDefault="004C3088">
      <w:pPr>
        <w:pStyle w:val="BodyText"/>
      </w:pPr>
    </w:p>
    <w:p w14:paraId="4B75DD78" w14:textId="77777777" w:rsidR="004C3088" w:rsidRDefault="002556CC">
      <w:pPr>
        <w:pStyle w:val="Heading2"/>
      </w:pPr>
      <w:bookmarkStart w:id="23" w:name="debt-arrangement-scheme"/>
      <w:bookmarkStart w:id="24" w:name="_Toc142064472"/>
      <w:r>
        <w:t>Debt Arrangement Scheme</w:t>
      </w:r>
      <w:bookmarkEnd w:id="23"/>
      <w:bookmarkEnd w:id="24"/>
    </w:p>
    <w:p w14:paraId="03BE1CF0" w14:textId="77777777" w:rsidR="004C3088" w:rsidRDefault="002556CC">
      <w:pPr>
        <w:pStyle w:val="FirstParagraph"/>
      </w:pPr>
      <w:r>
        <w:t>The DAS is a statutory debt management solution administered by AiB. Under the DAS, a debtor commits to a DPP which allows them to repay their debts based on their disposable income while they are protected from creditors taking any action against them to recover their debt.</w:t>
      </w:r>
    </w:p>
    <w:p w14:paraId="2F68DC95" w14:textId="77777777" w:rsidR="004C3088" w:rsidRDefault="002556CC">
      <w:pPr>
        <w:pStyle w:val="BodyText"/>
      </w:pPr>
      <w:r>
        <w:t>In 2022-23, there were 4,947 approved DPPs under DAS compared with 4,489 approved in 2021-22, a 10.2% increase.</w:t>
      </w:r>
    </w:p>
    <w:p w14:paraId="64E31F36" w14:textId="77777777" w:rsidR="004C3088" w:rsidRDefault="002556CC">
      <w:pPr>
        <w:pStyle w:val="BodyText"/>
      </w:pPr>
      <w:r>
        <w:lastRenderedPageBreak/>
        <w:t>A DPP reaches completion when the debt in the programme has been paid in full, minus the fees paid to the DAS Administrator and the Payments Distributor. There were 1,918 completed DAS DPPs in 2022-23, a 10.2% increase when compared with 1,740 in 2021-22.</w:t>
      </w:r>
    </w:p>
    <w:p w14:paraId="783147B6" w14:textId="77777777" w:rsidR="004C3088" w:rsidRDefault="002556CC">
      <w:pPr>
        <w:pStyle w:val="BodyText"/>
      </w:pPr>
      <w:r>
        <w:t>The debt included in live DPPs has increased from £337.0 million to £357.0 million by 31 March 2023. In 2022-23, around £47.0 million was repaid through DAS, a 7.3% increase when compared with £43.8 million repaid in 2021-22. Since the DAS (Scotland) Amendment Regulations 2018 came into force on 04 November 2019, creditors receive a minimum of 78% of debt owed to them from debtors on new DPPs approved (after DAS Administrator and payment distributor fees). Prior to this, the minimum was set at 90%. In 2022-23, £39.4 million was repaid to creditors.</w:t>
      </w:r>
    </w:p>
    <w:p w14:paraId="1598FCF1" w14:textId="77777777" w:rsidR="004C3088" w:rsidRDefault="002556CC">
      <w:pPr>
        <w:pStyle w:val="BodyText"/>
      </w:pPr>
      <w:r>
        <w:t>Chart 5 below shows the recent trend in approved DPPs under DAS.</w:t>
      </w:r>
    </w:p>
    <w:p w14:paraId="292C6BB7" w14:textId="77777777" w:rsidR="004C3088" w:rsidRDefault="004C3088">
      <w:pPr>
        <w:pStyle w:val="BodyText"/>
      </w:pPr>
    </w:p>
    <w:p w14:paraId="282D0DDE" w14:textId="77777777" w:rsidR="004C3088" w:rsidRDefault="002556CC">
      <w:pPr>
        <w:pStyle w:val="CaptionedFigure"/>
      </w:pPr>
      <w:r>
        <w:rPr>
          <w:noProof/>
        </w:rPr>
        <w:drawing>
          <wp:inline distT="0" distB="0" distL="0" distR="0" wp14:anchorId="5DE7EC5D" wp14:editId="25638554">
            <wp:extent cx="5943600" cy="4242598"/>
            <wp:effectExtent l="0" t="0" r="0" b="0"/>
            <wp:docPr id="17" name="Picture" descr="Chart 5 shows the number of Debt Arrangement Scheme Debt Payment Programmes approved from 2015-16 to 2022-23. This chart shows that approved DPP numbers show marked increase in recent years."/>
            <wp:cNvGraphicFramePr/>
            <a:graphic xmlns:a="http://schemas.openxmlformats.org/drawingml/2006/main">
              <a:graphicData uri="http://schemas.openxmlformats.org/drawingml/2006/picture">
                <pic:pic xmlns:pic="http://schemas.openxmlformats.org/drawingml/2006/picture">
                  <pic:nvPicPr>
                    <pic:cNvPr id="18" name="Picture" descr="_pub_chart_5_plot.png"/>
                    <pic:cNvPicPr>
                      <a:picLocks noChangeAspect="1" noChangeArrowheads="1"/>
                    </pic:cNvPicPr>
                  </pic:nvPicPr>
                  <pic:blipFill>
                    <a:blip r:embed="rId26"/>
                    <a:stretch>
                      <a:fillRect/>
                    </a:stretch>
                  </pic:blipFill>
                  <pic:spPr bwMode="auto">
                    <a:xfrm>
                      <a:off x="0" y="0"/>
                      <a:ext cx="5943600" cy="4242598"/>
                    </a:xfrm>
                    <a:prstGeom prst="rect">
                      <a:avLst/>
                    </a:prstGeom>
                    <a:noFill/>
                    <a:ln w="9525">
                      <a:noFill/>
                      <a:headEnd/>
                      <a:tailEnd/>
                    </a:ln>
                  </pic:spPr>
                </pic:pic>
              </a:graphicData>
            </a:graphic>
          </wp:inline>
        </w:drawing>
      </w:r>
    </w:p>
    <w:p w14:paraId="767EF6BC" w14:textId="77777777" w:rsidR="004C3088" w:rsidRDefault="002556CC">
      <w:pPr>
        <w:pStyle w:val="BodyText"/>
      </w:pPr>
      <w:r>
        <w:t>Table 8 below shows the high level summary of DAS DPPs since 2018-19 and includes information on the debt level in live DPPs and the amount repaid under DAS.</w:t>
      </w:r>
    </w:p>
    <w:p w14:paraId="1EAECE5B" w14:textId="77777777" w:rsidR="00F92D87" w:rsidRDefault="00F92D87">
      <w:pPr>
        <w:rPr>
          <w:rFonts w:ascii="Arial" w:hAnsi="Arial"/>
        </w:rPr>
      </w:pPr>
      <w:r>
        <w:lastRenderedPageBreak/>
        <w:br w:type="page"/>
      </w:r>
    </w:p>
    <w:p w14:paraId="7FCC7225" w14:textId="29C2511F" w:rsidR="004C3088" w:rsidRDefault="00F92D87">
      <w:pPr>
        <w:pStyle w:val="BodyText"/>
      </w:pPr>
      <w:r w:rsidRPr="00F92D87">
        <w:lastRenderedPageBreak/>
        <w:t>Table 8: Balance of DPPs under DAS by financial year</w:t>
      </w:r>
    </w:p>
    <w:tbl>
      <w:tblPr>
        <w:tblW w:w="5000" w:type="pct"/>
        <w:jc w:val="center"/>
        <w:tblLook w:val="04A0" w:firstRow="1" w:lastRow="0" w:firstColumn="1" w:lastColumn="0" w:noHBand="0" w:noVBand="1"/>
      </w:tblPr>
      <w:tblGrid>
        <w:gridCol w:w="4024"/>
        <w:gridCol w:w="873"/>
        <w:gridCol w:w="873"/>
        <w:gridCol w:w="873"/>
        <w:gridCol w:w="873"/>
        <w:gridCol w:w="873"/>
        <w:gridCol w:w="971"/>
      </w:tblGrid>
      <w:tr w:rsidR="004C3088" w14:paraId="2F9A8CD6" w14:textId="77777777" w:rsidTr="00F92D87">
        <w:trPr>
          <w:cantSplit/>
          <w:trHeight w:val="839"/>
          <w:tblHeader/>
          <w:jc w:val="center"/>
        </w:trPr>
        <w:tc>
          <w:tcPr>
            <w:tcW w:w="2273" w:type="pct"/>
            <w:tcBorders>
              <w:bottom w:val="single" w:sz="8" w:space="0" w:color="BEBEBE"/>
            </w:tcBorders>
            <w:shd w:val="clear" w:color="auto" w:fill="FFFFFF"/>
            <w:tcMar>
              <w:top w:w="0" w:type="dxa"/>
              <w:left w:w="0" w:type="dxa"/>
              <w:bottom w:w="0" w:type="dxa"/>
              <w:right w:w="0" w:type="dxa"/>
            </w:tcMar>
            <w:vAlign w:val="center"/>
          </w:tcPr>
          <w:p w14:paraId="6143EC5A"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Financial year</w:t>
            </w:r>
          </w:p>
        </w:tc>
        <w:tc>
          <w:tcPr>
            <w:tcW w:w="455" w:type="pct"/>
            <w:tcBorders>
              <w:bottom w:val="single" w:sz="8" w:space="0" w:color="BEBEBE"/>
            </w:tcBorders>
            <w:shd w:val="clear" w:color="auto" w:fill="FFFFFF"/>
            <w:tcMar>
              <w:top w:w="0" w:type="dxa"/>
              <w:left w:w="0" w:type="dxa"/>
              <w:bottom w:w="0" w:type="dxa"/>
              <w:right w:w="0" w:type="dxa"/>
            </w:tcMar>
            <w:vAlign w:val="center"/>
          </w:tcPr>
          <w:p w14:paraId="05CF1CB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2018-19</w:t>
            </w:r>
          </w:p>
        </w:tc>
        <w:tc>
          <w:tcPr>
            <w:tcW w:w="455" w:type="pct"/>
            <w:tcBorders>
              <w:bottom w:val="single" w:sz="8" w:space="0" w:color="BEBEBE"/>
            </w:tcBorders>
            <w:shd w:val="clear" w:color="auto" w:fill="FFFFFF"/>
            <w:tcMar>
              <w:top w:w="0" w:type="dxa"/>
              <w:left w:w="0" w:type="dxa"/>
              <w:bottom w:w="0" w:type="dxa"/>
              <w:right w:w="0" w:type="dxa"/>
            </w:tcMar>
            <w:vAlign w:val="center"/>
          </w:tcPr>
          <w:p w14:paraId="758DD1D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2019-20</w:t>
            </w:r>
          </w:p>
        </w:tc>
        <w:tc>
          <w:tcPr>
            <w:tcW w:w="455" w:type="pct"/>
            <w:tcBorders>
              <w:bottom w:val="single" w:sz="8" w:space="0" w:color="BEBEBE"/>
            </w:tcBorders>
            <w:shd w:val="clear" w:color="auto" w:fill="FFFFFF"/>
            <w:tcMar>
              <w:top w:w="0" w:type="dxa"/>
              <w:left w:w="0" w:type="dxa"/>
              <w:bottom w:w="0" w:type="dxa"/>
              <w:right w:w="0" w:type="dxa"/>
            </w:tcMar>
            <w:vAlign w:val="center"/>
          </w:tcPr>
          <w:p w14:paraId="5CB8809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2020-21</w:t>
            </w:r>
          </w:p>
        </w:tc>
        <w:tc>
          <w:tcPr>
            <w:tcW w:w="455" w:type="pct"/>
            <w:tcBorders>
              <w:bottom w:val="single" w:sz="8" w:space="0" w:color="BEBEBE"/>
            </w:tcBorders>
            <w:shd w:val="clear" w:color="auto" w:fill="FFFFFF"/>
            <w:tcMar>
              <w:top w:w="0" w:type="dxa"/>
              <w:left w:w="0" w:type="dxa"/>
              <w:bottom w:w="0" w:type="dxa"/>
              <w:right w:w="0" w:type="dxa"/>
            </w:tcMar>
            <w:vAlign w:val="center"/>
          </w:tcPr>
          <w:p w14:paraId="2D293BE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2021-22</w:t>
            </w:r>
          </w:p>
        </w:tc>
        <w:tc>
          <w:tcPr>
            <w:tcW w:w="455" w:type="pct"/>
            <w:tcBorders>
              <w:bottom w:val="single" w:sz="8" w:space="0" w:color="BEBEBE"/>
            </w:tcBorders>
            <w:shd w:val="clear" w:color="auto" w:fill="FFFFFF"/>
            <w:tcMar>
              <w:top w:w="0" w:type="dxa"/>
              <w:left w:w="0" w:type="dxa"/>
              <w:bottom w:w="0" w:type="dxa"/>
              <w:right w:w="0" w:type="dxa"/>
            </w:tcMar>
            <w:vAlign w:val="center"/>
          </w:tcPr>
          <w:p w14:paraId="21ECD99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2022-23</w:t>
            </w:r>
          </w:p>
        </w:tc>
        <w:tc>
          <w:tcPr>
            <w:tcW w:w="455" w:type="pct"/>
            <w:tcBorders>
              <w:bottom w:val="single" w:sz="8" w:space="0" w:color="BEBEBE"/>
            </w:tcBorders>
            <w:shd w:val="clear" w:color="auto" w:fill="FFFFFF"/>
            <w:tcMar>
              <w:top w:w="0" w:type="dxa"/>
              <w:left w:w="0" w:type="dxa"/>
              <w:bottom w:w="0" w:type="dxa"/>
              <w:right w:w="0" w:type="dxa"/>
            </w:tcMar>
            <w:vAlign w:val="center"/>
          </w:tcPr>
          <w:p w14:paraId="1664AF0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Annual change (%)</w:t>
            </w:r>
          </w:p>
        </w:tc>
      </w:tr>
      <w:tr w:rsidR="004C3088" w14:paraId="2CB0EB63" w14:textId="77777777" w:rsidTr="00F92D87">
        <w:trPr>
          <w:cantSplit/>
          <w:trHeight w:val="679"/>
          <w:jc w:val="center"/>
        </w:trPr>
        <w:tc>
          <w:tcPr>
            <w:tcW w:w="2273" w:type="pct"/>
            <w:shd w:val="clear" w:color="auto" w:fill="FFFFFF"/>
            <w:tcMar>
              <w:top w:w="0" w:type="dxa"/>
              <w:left w:w="0" w:type="dxa"/>
              <w:bottom w:w="0" w:type="dxa"/>
              <w:right w:w="0" w:type="dxa"/>
            </w:tcMar>
            <w:vAlign w:val="center"/>
          </w:tcPr>
          <w:p w14:paraId="5719AE8E"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Live cases at the start of the financial year</w:t>
            </w:r>
          </w:p>
        </w:tc>
        <w:tc>
          <w:tcPr>
            <w:tcW w:w="455" w:type="pct"/>
            <w:shd w:val="clear" w:color="auto" w:fill="FFFFFF"/>
            <w:tcMar>
              <w:top w:w="0" w:type="dxa"/>
              <w:left w:w="0" w:type="dxa"/>
              <w:bottom w:w="0" w:type="dxa"/>
              <w:right w:w="0" w:type="dxa"/>
            </w:tcMar>
            <w:vAlign w:val="center"/>
          </w:tcPr>
          <w:p w14:paraId="0F4A5C0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12,439</w:t>
            </w:r>
          </w:p>
        </w:tc>
        <w:tc>
          <w:tcPr>
            <w:tcW w:w="455" w:type="pct"/>
            <w:shd w:val="clear" w:color="auto" w:fill="FFFFFF"/>
            <w:tcMar>
              <w:top w:w="0" w:type="dxa"/>
              <w:left w:w="0" w:type="dxa"/>
              <w:bottom w:w="0" w:type="dxa"/>
              <w:right w:w="0" w:type="dxa"/>
            </w:tcMar>
            <w:vAlign w:val="center"/>
          </w:tcPr>
          <w:p w14:paraId="32B81A6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12,171</w:t>
            </w:r>
          </w:p>
        </w:tc>
        <w:tc>
          <w:tcPr>
            <w:tcW w:w="455" w:type="pct"/>
            <w:shd w:val="clear" w:color="auto" w:fill="FFFFFF"/>
            <w:tcMar>
              <w:top w:w="0" w:type="dxa"/>
              <w:left w:w="0" w:type="dxa"/>
              <w:bottom w:w="0" w:type="dxa"/>
              <w:right w:w="0" w:type="dxa"/>
            </w:tcMar>
            <w:vAlign w:val="center"/>
          </w:tcPr>
          <w:p w14:paraId="5BD8E5C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12,913</w:t>
            </w:r>
          </w:p>
        </w:tc>
        <w:tc>
          <w:tcPr>
            <w:tcW w:w="455" w:type="pct"/>
            <w:shd w:val="clear" w:color="auto" w:fill="FFFFFF"/>
            <w:tcMar>
              <w:top w:w="0" w:type="dxa"/>
              <w:left w:w="0" w:type="dxa"/>
              <w:bottom w:w="0" w:type="dxa"/>
              <w:right w:w="0" w:type="dxa"/>
            </w:tcMar>
            <w:vAlign w:val="center"/>
          </w:tcPr>
          <w:p w14:paraId="2AF4351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14,131</w:t>
            </w:r>
          </w:p>
        </w:tc>
        <w:tc>
          <w:tcPr>
            <w:tcW w:w="455" w:type="pct"/>
            <w:shd w:val="clear" w:color="auto" w:fill="FFFFFF"/>
            <w:tcMar>
              <w:top w:w="0" w:type="dxa"/>
              <w:left w:w="0" w:type="dxa"/>
              <w:bottom w:w="0" w:type="dxa"/>
              <w:right w:w="0" w:type="dxa"/>
            </w:tcMar>
            <w:vAlign w:val="center"/>
          </w:tcPr>
          <w:p w14:paraId="75A5DB3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15,292</w:t>
            </w:r>
          </w:p>
        </w:tc>
        <w:tc>
          <w:tcPr>
            <w:tcW w:w="455" w:type="pct"/>
            <w:shd w:val="clear" w:color="auto" w:fill="FFFFFF"/>
            <w:tcMar>
              <w:top w:w="0" w:type="dxa"/>
              <w:left w:w="0" w:type="dxa"/>
              <w:bottom w:w="0" w:type="dxa"/>
              <w:right w:w="0" w:type="dxa"/>
            </w:tcMar>
            <w:vAlign w:val="center"/>
          </w:tcPr>
          <w:p w14:paraId="76D6E23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8.2%</w:t>
            </w:r>
          </w:p>
        </w:tc>
      </w:tr>
      <w:tr w:rsidR="004C3088" w14:paraId="217A2C76" w14:textId="77777777" w:rsidTr="00F92D87">
        <w:trPr>
          <w:cantSplit/>
          <w:trHeight w:val="839"/>
          <w:jc w:val="center"/>
        </w:trPr>
        <w:tc>
          <w:tcPr>
            <w:tcW w:w="2273" w:type="pct"/>
            <w:shd w:val="clear" w:color="auto" w:fill="FFFFFF"/>
            <w:tcMar>
              <w:top w:w="0" w:type="dxa"/>
              <w:left w:w="0" w:type="dxa"/>
              <w:bottom w:w="0" w:type="dxa"/>
              <w:right w:w="0" w:type="dxa"/>
            </w:tcMar>
            <w:vAlign w:val="center"/>
          </w:tcPr>
          <w:p w14:paraId="1A43109B"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Balancing item to match the published figures for live cases</w:t>
            </w:r>
          </w:p>
        </w:tc>
        <w:tc>
          <w:tcPr>
            <w:tcW w:w="455" w:type="pct"/>
            <w:shd w:val="clear" w:color="auto" w:fill="FFFFFF"/>
            <w:tcMar>
              <w:top w:w="0" w:type="dxa"/>
              <w:left w:w="0" w:type="dxa"/>
              <w:bottom w:w="0" w:type="dxa"/>
              <w:right w:w="0" w:type="dxa"/>
            </w:tcMar>
            <w:vAlign w:val="center"/>
          </w:tcPr>
          <w:p w14:paraId="19E0C36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455" w:type="pct"/>
            <w:shd w:val="clear" w:color="auto" w:fill="FFFFFF"/>
            <w:tcMar>
              <w:top w:w="0" w:type="dxa"/>
              <w:left w:w="0" w:type="dxa"/>
              <w:bottom w:w="0" w:type="dxa"/>
              <w:right w:w="0" w:type="dxa"/>
            </w:tcMar>
            <w:vAlign w:val="center"/>
          </w:tcPr>
          <w:p w14:paraId="5EB52FF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455" w:type="pct"/>
            <w:shd w:val="clear" w:color="auto" w:fill="FFFFFF"/>
            <w:tcMar>
              <w:top w:w="0" w:type="dxa"/>
              <w:left w:w="0" w:type="dxa"/>
              <w:bottom w:w="0" w:type="dxa"/>
              <w:right w:w="0" w:type="dxa"/>
            </w:tcMar>
            <w:vAlign w:val="center"/>
          </w:tcPr>
          <w:p w14:paraId="67FEFA7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455" w:type="pct"/>
            <w:shd w:val="clear" w:color="auto" w:fill="FFFFFF"/>
            <w:tcMar>
              <w:top w:w="0" w:type="dxa"/>
              <w:left w:w="0" w:type="dxa"/>
              <w:bottom w:w="0" w:type="dxa"/>
              <w:right w:w="0" w:type="dxa"/>
            </w:tcMar>
            <w:vAlign w:val="center"/>
          </w:tcPr>
          <w:p w14:paraId="3BDC77B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455" w:type="pct"/>
            <w:shd w:val="clear" w:color="auto" w:fill="FFFFFF"/>
            <w:tcMar>
              <w:top w:w="0" w:type="dxa"/>
              <w:left w:w="0" w:type="dxa"/>
              <w:bottom w:w="0" w:type="dxa"/>
              <w:right w:w="0" w:type="dxa"/>
            </w:tcMar>
            <w:vAlign w:val="center"/>
          </w:tcPr>
          <w:p w14:paraId="13EA377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w:t>
            </w:r>
          </w:p>
        </w:tc>
        <w:tc>
          <w:tcPr>
            <w:tcW w:w="455" w:type="pct"/>
            <w:shd w:val="clear" w:color="auto" w:fill="FFFFFF"/>
            <w:tcMar>
              <w:top w:w="0" w:type="dxa"/>
              <w:left w:w="0" w:type="dxa"/>
              <w:bottom w:w="0" w:type="dxa"/>
              <w:right w:w="0" w:type="dxa"/>
            </w:tcMar>
            <w:vAlign w:val="center"/>
          </w:tcPr>
          <w:p w14:paraId="1B5EDE1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14:paraId="12E55DD6" w14:textId="77777777" w:rsidTr="00F92D87">
        <w:trPr>
          <w:cantSplit/>
          <w:trHeight w:val="437"/>
          <w:jc w:val="center"/>
        </w:trPr>
        <w:tc>
          <w:tcPr>
            <w:tcW w:w="2273" w:type="pct"/>
            <w:shd w:val="clear" w:color="auto" w:fill="FFFFFF"/>
            <w:tcMar>
              <w:top w:w="0" w:type="dxa"/>
              <w:left w:w="0" w:type="dxa"/>
              <w:bottom w:w="0" w:type="dxa"/>
              <w:right w:w="0" w:type="dxa"/>
            </w:tcMar>
            <w:vAlign w:val="center"/>
          </w:tcPr>
          <w:p w14:paraId="67086F20" w14:textId="77777777" w:rsidR="004C3088" w:rsidRPr="00D34820" w:rsidRDefault="002556CC">
            <w:pPr>
              <w:spacing w:before="40" w:after="40"/>
              <w:ind w:left="100" w:right="100"/>
              <w:rPr>
                <w:rFonts w:ascii="Arial" w:hAnsi="Arial" w:cs="Arial"/>
                <w:b/>
                <w:bCs/>
                <w:sz w:val="22"/>
                <w:szCs w:val="22"/>
              </w:rPr>
            </w:pPr>
            <w:r w:rsidRPr="00D34820">
              <w:rPr>
                <w:rFonts w:ascii="Arial" w:eastAsia="Roboto" w:hAnsi="Arial" w:cs="Arial"/>
                <w:b/>
                <w:bCs/>
                <w:color w:val="111111"/>
                <w:sz w:val="22"/>
                <w:szCs w:val="22"/>
              </w:rPr>
              <w:t>New DPPs approved</w:t>
            </w:r>
          </w:p>
        </w:tc>
        <w:tc>
          <w:tcPr>
            <w:tcW w:w="455" w:type="pct"/>
            <w:shd w:val="clear" w:color="auto" w:fill="FFFFFF"/>
            <w:tcMar>
              <w:top w:w="0" w:type="dxa"/>
              <w:left w:w="0" w:type="dxa"/>
              <w:bottom w:w="0" w:type="dxa"/>
              <w:right w:w="0" w:type="dxa"/>
            </w:tcMar>
            <w:vAlign w:val="center"/>
          </w:tcPr>
          <w:p w14:paraId="499C0AAC" w14:textId="77777777" w:rsidR="004C3088" w:rsidRPr="00D34820" w:rsidRDefault="002556CC">
            <w:pPr>
              <w:spacing w:before="40" w:after="40"/>
              <w:ind w:left="100" w:right="100"/>
              <w:jc w:val="right"/>
              <w:rPr>
                <w:rFonts w:ascii="Arial" w:hAnsi="Arial" w:cs="Arial"/>
                <w:b/>
                <w:bCs/>
                <w:sz w:val="22"/>
                <w:szCs w:val="22"/>
              </w:rPr>
            </w:pPr>
            <w:r w:rsidRPr="00D34820">
              <w:rPr>
                <w:rFonts w:ascii="Arial" w:eastAsia="Roboto" w:hAnsi="Arial" w:cs="Arial"/>
                <w:b/>
                <w:bCs/>
                <w:color w:val="111111"/>
                <w:sz w:val="22"/>
                <w:szCs w:val="22"/>
              </w:rPr>
              <w:t>2,544</w:t>
            </w:r>
          </w:p>
        </w:tc>
        <w:tc>
          <w:tcPr>
            <w:tcW w:w="455" w:type="pct"/>
            <w:shd w:val="clear" w:color="auto" w:fill="FFFFFF"/>
            <w:tcMar>
              <w:top w:w="0" w:type="dxa"/>
              <w:left w:w="0" w:type="dxa"/>
              <w:bottom w:w="0" w:type="dxa"/>
              <w:right w:w="0" w:type="dxa"/>
            </w:tcMar>
            <w:vAlign w:val="center"/>
          </w:tcPr>
          <w:p w14:paraId="02523F7B" w14:textId="77777777" w:rsidR="004C3088" w:rsidRPr="00D34820" w:rsidRDefault="002556CC">
            <w:pPr>
              <w:spacing w:before="40" w:after="40"/>
              <w:ind w:left="100" w:right="100"/>
              <w:jc w:val="right"/>
              <w:rPr>
                <w:rFonts w:ascii="Arial" w:hAnsi="Arial" w:cs="Arial"/>
                <w:b/>
                <w:bCs/>
                <w:sz w:val="22"/>
                <w:szCs w:val="22"/>
              </w:rPr>
            </w:pPr>
            <w:r w:rsidRPr="00D34820">
              <w:rPr>
                <w:rFonts w:ascii="Arial" w:eastAsia="Roboto" w:hAnsi="Arial" w:cs="Arial"/>
                <w:b/>
                <w:bCs/>
                <w:color w:val="111111"/>
                <w:sz w:val="22"/>
                <w:szCs w:val="22"/>
              </w:rPr>
              <w:t>3,130</w:t>
            </w:r>
          </w:p>
        </w:tc>
        <w:tc>
          <w:tcPr>
            <w:tcW w:w="455" w:type="pct"/>
            <w:shd w:val="clear" w:color="auto" w:fill="FFFFFF"/>
            <w:tcMar>
              <w:top w:w="0" w:type="dxa"/>
              <w:left w:w="0" w:type="dxa"/>
              <w:bottom w:w="0" w:type="dxa"/>
              <w:right w:w="0" w:type="dxa"/>
            </w:tcMar>
            <w:vAlign w:val="center"/>
          </w:tcPr>
          <w:p w14:paraId="285A00BE" w14:textId="77777777" w:rsidR="004C3088" w:rsidRPr="00D34820" w:rsidRDefault="002556CC">
            <w:pPr>
              <w:spacing w:before="40" w:after="40"/>
              <w:ind w:left="100" w:right="100"/>
              <w:jc w:val="right"/>
              <w:rPr>
                <w:rFonts w:ascii="Arial" w:hAnsi="Arial" w:cs="Arial"/>
                <w:b/>
                <w:bCs/>
                <w:sz w:val="22"/>
                <w:szCs w:val="22"/>
              </w:rPr>
            </w:pPr>
            <w:r w:rsidRPr="00D34820">
              <w:rPr>
                <w:rFonts w:ascii="Arial" w:eastAsia="Roboto" w:hAnsi="Arial" w:cs="Arial"/>
                <w:b/>
                <w:bCs/>
                <w:color w:val="111111"/>
                <w:sz w:val="22"/>
                <w:szCs w:val="22"/>
              </w:rPr>
              <w:t>3,677</w:t>
            </w:r>
          </w:p>
        </w:tc>
        <w:tc>
          <w:tcPr>
            <w:tcW w:w="455" w:type="pct"/>
            <w:shd w:val="clear" w:color="auto" w:fill="FFFFFF"/>
            <w:tcMar>
              <w:top w:w="0" w:type="dxa"/>
              <w:left w:w="0" w:type="dxa"/>
              <w:bottom w:w="0" w:type="dxa"/>
              <w:right w:w="0" w:type="dxa"/>
            </w:tcMar>
            <w:vAlign w:val="center"/>
          </w:tcPr>
          <w:p w14:paraId="1FDB2F34" w14:textId="77777777" w:rsidR="004C3088" w:rsidRPr="00D34820" w:rsidRDefault="002556CC">
            <w:pPr>
              <w:spacing w:before="40" w:after="40"/>
              <w:ind w:left="100" w:right="100"/>
              <w:jc w:val="right"/>
              <w:rPr>
                <w:rFonts w:ascii="Arial" w:hAnsi="Arial" w:cs="Arial"/>
                <w:b/>
                <w:bCs/>
                <w:sz w:val="22"/>
                <w:szCs w:val="22"/>
              </w:rPr>
            </w:pPr>
            <w:r w:rsidRPr="00D34820">
              <w:rPr>
                <w:rFonts w:ascii="Arial" w:eastAsia="Roboto" w:hAnsi="Arial" w:cs="Arial"/>
                <w:b/>
                <w:bCs/>
                <w:color w:val="111111"/>
                <w:sz w:val="22"/>
                <w:szCs w:val="22"/>
              </w:rPr>
              <w:t>4,489</w:t>
            </w:r>
          </w:p>
        </w:tc>
        <w:tc>
          <w:tcPr>
            <w:tcW w:w="455" w:type="pct"/>
            <w:shd w:val="clear" w:color="auto" w:fill="FFFFFF"/>
            <w:tcMar>
              <w:top w:w="0" w:type="dxa"/>
              <w:left w:w="0" w:type="dxa"/>
              <w:bottom w:w="0" w:type="dxa"/>
              <w:right w:w="0" w:type="dxa"/>
            </w:tcMar>
            <w:vAlign w:val="center"/>
          </w:tcPr>
          <w:p w14:paraId="36AE8E85" w14:textId="77777777" w:rsidR="004C3088" w:rsidRPr="00D34820" w:rsidRDefault="002556CC">
            <w:pPr>
              <w:spacing w:before="40" w:after="40"/>
              <w:ind w:left="100" w:right="100"/>
              <w:jc w:val="right"/>
              <w:rPr>
                <w:rFonts w:ascii="Arial" w:hAnsi="Arial" w:cs="Arial"/>
                <w:b/>
                <w:bCs/>
                <w:sz w:val="22"/>
                <w:szCs w:val="22"/>
              </w:rPr>
            </w:pPr>
            <w:r w:rsidRPr="00D34820">
              <w:rPr>
                <w:rFonts w:ascii="Arial" w:eastAsia="Roboto" w:hAnsi="Arial" w:cs="Arial"/>
                <w:b/>
                <w:bCs/>
                <w:color w:val="111111"/>
                <w:sz w:val="22"/>
                <w:szCs w:val="22"/>
              </w:rPr>
              <w:t>4,947</w:t>
            </w:r>
          </w:p>
        </w:tc>
        <w:tc>
          <w:tcPr>
            <w:tcW w:w="455" w:type="pct"/>
            <w:shd w:val="clear" w:color="auto" w:fill="FFFFFF"/>
            <w:tcMar>
              <w:top w:w="0" w:type="dxa"/>
              <w:left w:w="0" w:type="dxa"/>
              <w:bottom w:w="0" w:type="dxa"/>
              <w:right w:w="0" w:type="dxa"/>
            </w:tcMar>
            <w:vAlign w:val="center"/>
          </w:tcPr>
          <w:p w14:paraId="619E59BC" w14:textId="77777777" w:rsidR="004C3088" w:rsidRPr="00D34820" w:rsidRDefault="002556CC">
            <w:pPr>
              <w:spacing w:before="40" w:after="40"/>
              <w:ind w:left="100" w:right="100"/>
              <w:jc w:val="right"/>
              <w:rPr>
                <w:rFonts w:ascii="Arial" w:hAnsi="Arial" w:cs="Arial"/>
                <w:b/>
                <w:bCs/>
                <w:sz w:val="22"/>
                <w:szCs w:val="22"/>
              </w:rPr>
            </w:pPr>
            <w:r w:rsidRPr="00D34820">
              <w:rPr>
                <w:rFonts w:ascii="Arial" w:eastAsia="Roboto" w:hAnsi="Arial" w:cs="Arial"/>
                <w:b/>
                <w:bCs/>
                <w:color w:val="111111"/>
                <w:sz w:val="22"/>
                <w:szCs w:val="22"/>
              </w:rPr>
              <w:t>10.2%</w:t>
            </w:r>
          </w:p>
        </w:tc>
      </w:tr>
      <w:tr w:rsidR="004C3088" w14:paraId="31DC6675" w14:textId="77777777" w:rsidTr="00F92D87">
        <w:trPr>
          <w:cantSplit/>
          <w:trHeight w:val="557"/>
          <w:jc w:val="center"/>
        </w:trPr>
        <w:tc>
          <w:tcPr>
            <w:tcW w:w="2273" w:type="pct"/>
            <w:shd w:val="clear" w:color="auto" w:fill="FFFFFF"/>
            <w:tcMar>
              <w:top w:w="0" w:type="dxa"/>
              <w:left w:w="0" w:type="dxa"/>
              <w:bottom w:w="0" w:type="dxa"/>
              <w:right w:w="0" w:type="dxa"/>
            </w:tcMar>
            <w:vAlign w:val="center"/>
          </w:tcPr>
          <w:p w14:paraId="044D9ABC"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Joint applications</w:t>
            </w:r>
          </w:p>
        </w:tc>
        <w:tc>
          <w:tcPr>
            <w:tcW w:w="455" w:type="pct"/>
            <w:shd w:val="clear" w:color="auto" w:fill="FFFFFF"/>
            <w:tcMar>
              <w:top w:w="0" w:type="dxa"/>
              <w:left w:w="0" w:type="dxa"/>
              <w:bottom w:w="0" w:type="dxa"/>
              <w:right w:w="0" w:type="dxa"/>
            </w:tcMar>
            <w:vAlign w:val="center"/>
          </w:tcPr>
          <w:p w14:paraId="3035D66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348</w:t>
            </w:r>
          </w:p>
        </w:tc>
        <w:tc>
          <w:tcPr>
            <w:tcW w:w="455" w:type="pct"/>
            <w:shd w:val="clear" w:color="auto" w:fill="FFFFFF"/>
            <w:tcMar>
              <w:top w:w="0" w:type="dxa"/>
              <w:left w:w="0" w:type="dxa"/>
              <w:bottom w:w="0" w:type="dxa"/>
              <w:right w:w="0" w:type="dxa"/>
            </w:tcMar>
            <w:vAlign w:val="center"/>
          </w:tcPr>
          <w:p w14:paraId="1C6FA29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356</w:t>
            </w:r>
          </w:p>
        </w:tc>
        <w:tc>
          <w:tcPr>
            <w:tcW w:w="455" w:type="pct"/>
            <w:shd w:val="clear" w:color="auto" w:fill="FFFFFF"/>
            <w:tcMar>
              <w:top w:w="0" w:type="dxa"/>
              <w:left w:w="0" w:type="dxa"/>
              <w:bottom w:w="0" w:type="dxa"/>
              <w:right w:w="0" w:type="dxa"/>
            </w:tcMar>
            <w:vAlign w:val="center"/>
          </w:tcPr>
          <w:p w14:paraId="01BD148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311</w:t>
            </w:r>
          </w:p>
        </w:tc>
        <w:tc>
          <w:tcPr>
            <w:tcW w:w="455" w:type="pct"/>
            <w:shd w:val="clear" w:color="auto" w:fill="FFFFFF"/>
            <w:tcMar>
              <w:top w:w="0" w:type="dxa"/>
              <w:left w:w="0" w:type="dxa"/>
              <w:bottom w:w="0" w:type="dxa"/>
              <w:right w:w="0" w:type="dxa"/>
            </w:tcMar>
            <w:vAlign w:val="center"/>
          </w:tcPr>
          <w:p w14:paraId="4DCA710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363</w:t>
            </w:r>
          </w:p>
        </w:tc>
        <w:tc>
          <w:tcPr>
            <w:tcW w:w="455" w:type="pct"/>
            <w:shd w:val="clear" w:color="auto" w:fill="FFFFFF"/>
            <w:tcMar>
              <w:top w:w="0" w:type="dxa"/>
              <w:left w:w="0" w:type="dxa"/>
              <w:bottom w:w="0" w:type="dxa"/>
              <w:right w:w="0" w:type="dxa"/>
            </w:tcMar>
            <w:vAlign w:val="center"/>
          </w:tcPr>
          <w:p w14:paraId="6A5F643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339</w:t>
            </w:r>
          </w:p>
        </w:tc>
        <w:tc>
          <w:tcPr>
            <w:tcW w:w="455" w:type="pct"/>
            <w:shd w:val="clear" w:color="auto" w:fill="FFFFFF"/>
            <w:tcMar>
              <w:top w:w="0" w:type="dxa"/>
              <w:left w:w="0" w:type="dxa"/>
              <w:bottom w:w="0" w:type="dxa"/>
              <w:right w:w="0" w:type="dxa"/>
            </w:tcMar>
            <w:vAlign w:val="center"/>
          </w:tcPr>
          <w:p w14:paraId="6894DC8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-6.6%</w:t>
            </w:r>
          </w:p>
        </w:tc>
      </w:tr>
      <w:tr w:rsidR="004C3088" w14:paraId="5216AC79" w14:textId="77777777" w:rsidTr="00F92D87">
        <w:trPr>
          <w:cantSplit/>
          <w:trHeight w:val="281"/>
          <w:jc w:val="center"/>
        </w:trPr>
        <w:tc>
          <w:tcPr>
            <w:tcW w:w="2273" w:type="pct"/>
            <w:shd w:val="clear" w:color="auto" w:fill="FFFFFF"/>
            <w:tcMar>
              <w:top w:w="0" w:type="dxa"/>
              <w:left w:w="0" w:type="dxa"/>
              <w:bottom w:w="0" w:type="dxa"/>
              <w:right w:w="0" w:type="dxa"/>
            </w:tcMar>
            <w:vAlign w:val="center"/>
          </w:tcPr>
          <w:p w14:paraId="6F535A50"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Contains one single debt</w:t>
            </w:r>
          </w:p>
        </w:tc>
        <w:tc>
          <w:tcPr>
            <w:tcW w:w="455" w:type="pct"/>
            <w:shd w:val="clear" w:color="auto" w:fill="FFFFFF"/>
            <w:tcMar>
              <w:top w:w="0" w:type="dxa"/>
              <w:left w:w="0" w:type="dxa"/>
              <w:bottom w:w="0" w:type="dxa"/>
              <w:right w:w="0" w:type="dxa"/>
            </w:tcMar>
            <w:vAlign w:val="center"/>
          </w:tcPr>
          <w:p w14:paraId="6BBC97A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50</w:t>
            </w:r>
          </w:p>
        </w:tc>
        <w:tc>
          <w:tcPr>
            <w:tcW w:w="455" w:type="pct"/>
            <w:shd w:val="clear" w:color="auto" w:fill="FFFFFF"/>
            <w:tcMar>
              <w:top w:w="0" w:type="dxa"/>
              <w:left w:w="0" w:type="dxa"/>
              <w:bottom w:w="0" w:type="dxa"/>
              <w:right w:w="0" w:type="dxa"/>
            </w:tcMar>
            <w:vAlign w:val="center"/>
          </w:tcPr>
          <w:p w14:paraId="3D131E1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49</w:t>
            </w:r>
          </w:p>
        </w:tc>
        <w:tc>
          <w:tcPr>
            <w:tcW w:w="455" w:type="pct"/>
            <w:shd w:val="clear" w:color="auto" w:fill="FFFFFF"/>
            <w:tcMar>
              <w:top w:w="0" w:type="dxa"/>
              <w:left w:w="0" w:type="dxa"/>
              <w:bottom w:w="0" w:type="dxa"/>
              <w:right w:w="0" w:type="dxa"/>
            </w:tcMar>
            <w:vAlign w:val="center"/>
          </w:tcPr>
          <w:p w14:paraId="217711C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31</w:t>
            </w:r>
          </w:p>
        </w:tc>
        <w:tc>
          <w:tcPr>
            <w:tcW w:w="455" w:type="pct"/>
            <w:shd w:val="clear" w:color="auto" w:fill="FFFFFF"/>
            <w:tcMar>
              <w:top w:w="0" w:type="dxa"/>
              <w:left w:w="0" w:type="dxa"/>
              <w:bottom w:w="0" w:type="dxa"/>
              <w:right w:w="0" w:type="dxa"/>
            </w:tcMar>
            <w:vAlign w:val="center"/>
          </w:tcPr>
          <w:p w14:paraId="6FF1F7E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56</w:t>
            </w:r>
          </w:p>
        </w:tc>
        <w:tc>
          <w:tcPr>
            <w:tcW w:w="455" w:type="pct"/>
            <w:shd w:val="clear" w:color="auto" w:fill="FFFFFF"/>
            <w:tcMar>
              <w:top w:w="0" w:type="dxa"/>
              <w:left w:w="0" w:type="dxa"/>
              <w:bottom w:w="0" w:type="dxa"/>
              <w:right w:w="0" w:type="dxa"/>
            </w:tcMar>
            <w:vAlign w:val="center"/>
          </w:tcPr>
          <w:p w14:paraId="30C129D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40</w:t>
            </w:r>
          </w:p>
        </w:tc>
        <w:tc>
          <w:tcPr>
            <w:tcW w:w="455" w:type="pct"/>
            <w:shd w:val="clear" w:color="auto" w:fill="FFFFFF"/>
            <w:tcMar>
              <w:top w:w="0" w:type="dxa"/>
              <w:left w:w="0" w:type="dxa"/>
              <w:bottom w:w="0" w:type="dxa"/>
              <w:right w:w="0" w:type="dxa"/>
            </w:tcMar>
            <w:vAlign w:val="center"/>
          </w:tcPr>
          <w:p w14:paraId="7D7023B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-28.6%</w:t>
            </w:r>
          </w:p>
        </w:tc>
      </w:tr>
      <w:tr w:rsidR="004C3088" w:rsidRPr="00F92D87" w14:paraId="32791F07" w14:textId="77777777" w:rsidTr="00F92D87">
        <w:trPr>
          <w:cantSplit/>
          <w:trHeight w:val="839"/>
          <w:jc w:val="center"/>
        </w:trPr>
        <w:tc>
          <w:tcPr>
            <w:tcW w:w="2273" w:type="pct"/>
            <w:shd w:val="clear" w:color="auto" w:fill="FFFFFF"/>
            <w:tcMar>
              <w:top w:w="0" w:type="dxa"/>
              <w:left w:w="0" w:type="dxa"/>
              <w:bottom w:w="0" w:type="dxa"/>
              <w:right w:w="0" w:type="dxa"/>
            </w:tcMar>
            <w:vAlign w:val="center"/>
          </w:tcPr>
          <w:p w14:paraId="4AE37001" w14:textId="77777777" w:rsidR="004C3088" w:rsidRPr="00F92D87" w:rsidRDefault="002556CC">
            <w:pPr>
              <w:spacing w:before="40" w:after="40"/>
              <w:ind w:left="100" w:right="100"/>
              <w:rPr>
                <w:rFonts w:ascii="Arial" w:hAnsi="Arial" w:cs="Arial"/>
                <w:b/>
                <w:bCs/>
                <w:sz w:val="22"/>
                <w:szCs w:val="22"/>
              </w:rPr>
            </w:pPr>
            <w:r w:rsidRPr="00F92D87">
              <w:rPr>
                <w:rFonts w:ascii="Arial" w:eastAsia="Roboto" w:hAnsi="Arial" w:cs="Arial"/>
                <w:b/>
                <w:bCs/>
                <w:color w:val="111111"/>
                <w:sz w:val="22"/>
                <w:szCs w:val="22"/>
              </w:rPr>
              <w:t>New DPPs completed</w:t>
            </w:r>
          </w:p>
        </w:tc>
        <w:tc>
          <w:tcPr>
            <w:tcW w:w="455" w:type="pct"/>
            <w:shd w:val="clear" w:color="auto" w:fill="FFFFFF"/>
            <w:tcMar>
              <w:top w:w="0" w:type="dxa"/>
              <w:left w:w="0" w:type="dxa"/>
              <w:bottom w:w="0" w:type="dxa"/>
              <w:right w:w="0" w:type="dxa"/>
            </w:tcMar>
            <w:vAlign w:val="center"/>
          </w:tcPr>
          <w:p w14:paraId="124CAC3C" w14:textId="77777777" w:rsidR="004C3088" w:rsidRPr="00F92D87" w:rsidRDefault="002556CC">
            <w:pPr>
              <w:spacing w:before="40" w:after="40"/>
              <w:ind w:left="100" w:right="100"/>
              <w:jc w:val="right"/>
              <w:rPr>
                <w:rFonts w:ascii="Arial" w:hAnsi="Arial" w:cs="Arial"/>
                <w:b/>
                <w:bCs/>
                <w:sz w:val="22"/>
                <w:szCs w:val="22"/>
              </w:rPr>
            </w:pPr>
            <w:r w:rsidRPr="00F92D87">
              <w:rPr>
                <w:rFonts w:ascii="Arial" w:eastAsia="Roboto" w:hAnsi="Arial" w:cs="Arial"/>
                <w:b/>
                <w:bCs/>
                <w:color w:val="111111"/>
                <w:sz w:val="22"/>
                <w:szCs w:val="22"/>
              </w:rPr>
              <w:t>1,687</w:t>
            </w:r>
          </w:p>
        </w:tc>
        <w:tc>
          <w:tcPr>
            <w:tcW w:w="455" w:type="pct"/>
            <w:shd w:val="clear" w:color="auto" w:fill="FFFFFF"/>
            <w:tcMar>
              <w:top w:w="0" w:type="dxa"/>
              <w:left w:w="0" w:type="dxa"/>
              <w:bottom w:w="0" w:type="dxa"/>
              <w:right w:w="0" w:type="dxa"/>
            </w:tcMar>
            <w:vAlign w:val="center"/>
          </w:tcPr>
          <w:p w14:paraId="2278336B" w14:textId="77777777" w:rsidR="004C3088" w:rsidRPr="00F92D87" w:rsidRDefault="002556CC">
            <w:pPr>
              <w:spacing w:before="40" w:after="40"/>
              <w:ind w:left="100" w:right="100"/>
              <w:jc w:val="right"/>
              <w:rPr>
                <w:rFonts w:ascii="Arial" w:hAnsi="Arial" w:cs="Arial"/>
                <w:b/>
                <w:bCs/>
                <w:sz w:val="22"/>
                <w:szCs w:val="22"/>
              </w:rPr>
            </w:pPr>
            <w:r w:rsidRPr="00F92D87">
              <w:rPr>
                <w:rFonts w:ascii="Arial" w:eastAsia="Roboto" w:hAnsi="Arial" w:cs="Arial"/>
                <w:b/>
                <w:bCs/>
                <w:color w:val="111111"/>
                <w:sz w:val="22"/>
                <w:szCs w:val="22"/>
              </w:rPr>
              <w:t>1,622</w:t>
            </w:r>
          </w:p>
        </w:tc>
        <w:tc>
          <w:tcPr>
            <w:tcW w:w="455" w:type="pct"/>
            <w:shd w:val="clear" w:color="auto" w:fill="FFFFFF"/>
            <w:tcMar>
              <w:top w:w="0" w:type="dxa"/>
              <w:left w:w="0" w:type="dxa"/>
              <w:bottom w:w="0" w:type="dxa"/>
              <w:right w:w="0" w:type="dxa"/>
            </w:tcMar>
            <w:vAlign w:val="center"/>
          </w:tcPr>
          <w:p w14:paraId="78595D7E" w14:textId="77777777" w:rsidR="004C3088" w:rsidRPr="00F92D87" w:rsidRDefault="002556CC">
            <w:pPr>
              <w:spacing w:before="40" w:after="40"/>
              <w:ind w:left="100" w:right="100"/>
              <w:jc w:val="right"/>
              <w:rPr>
                <w:rFonts w:ascii="Arial" w:hAnsi="Arial" w:cs="Arial"/>
                <w:b/>
                <w:bCs/>
                <w:sz w:val="22"/>
                <w:szCs w:val="22"/>
              </w:rPr>
            </w:pPr>
            <w:r w:rsidRPr="00F92D87">
              <w:rPr>
                <w:rFonts w:ascii="Arial" w:eastAsia="Roboto" w:hAnsi="Arial" w:cs="Arial"/>
                <w:b/>
                <w:bCs/>
                <w:color w:val="111111"/>
                <w:sz w:val="22"/>
                <w:szCs w:val="22"/>
              </w:rPr>
              <w:t>1,812</w:t>
            </w:r>
          </w:p>
        </w:tc>
        <w:tc>
          <w:tcPr>
            <w:tcW w:w="455" w:type="pct"/>
            <w:shd w:val="clear" w:color="auto" w:fill="FFFFFF"/>
            <w:tcMar>
              <w:top w:w="0" w:type="dxa"/>
              <w:left w:w="0" w:type="dxa"/>
              <w:bottom w:w="0" w:type="dxa"/>
              <w:right w:w="0" w:type="dxa"/>
            </w:tcMar>
            <w:vAlign w:val="center"/>
          </w:tcPr>
          <w:p w14:paraId="1764B1DF" w14:textId="77777777" w:rsidR="004C3088" w:rsidRPr="00F92D87" w:rsidRDefault="002556CC">
            <w:pPr>
              <w:spacing w:before="40" w:after="40"/>
              <w:ind w:left="100" w:right="100"/>
              <w:jc w:val="right"/>
              <w:rPr>
                <w:rFonts w:ascii="Arial" w:hAnsi="Arial" w:cs="Arial"/>
                <w:b/>
                <w:bCs/>
                <w:sz w:val="22"/>
                <w:szCs w:val="22"/>
              </w:rPr>
            </w:pPr>
            <w:r w:rsidRPr="00F92D87">
              <w:rPr>
                <w:rFonts w:ascii="Arial" w:eastAsia="Roboto" w:hAnsi="Arial" w:cs="Arial"/>
                <w:b/>
                <w:bCs/>
                <w:color w:val="111111"/>
                <w:sz w:val="22"/>
                <w:szCs w:val="22"/>
              </w:rPr>
              <w:t>1,740</w:t>
            </w:r>
          </w:p>
        </w:tc>
        <w:tc>
          <w:tcPr>
            <w:tcW w:w="455" w:type="pct"/>
            <w:shd w:val="clear" w:color="auto" w:fill="FFFFFF"/>
            <w:tcMar>
              <w:top w:w="0" w:type="dxa"/>
              <w:left w:w="0" w:type="dxa"/>
              <w:bottom w:w="0" w:type="dxa"/>
              <w:right w:w="0" w:type="dxa"/>
            </w:tcMar>
            <w:vAlign w:val="center"/>
          </w:tcPr>
          <w:p w14:paraId="0D087EAC" w14:textId="77777777" w:rsidR="004C3088" w:rsidRPr="00F92D87" w:rsidRDefault="002556CC">
            <w:pPr>
              <w:spacing w:before="40" w:after="40"/>
              <w:ind w:left="100" w:right="100"/>
              <w:jc w:val="right"/>
              <w:rPr>
                <w:rFonts w:ascii="Arial" w:hAnsi="Arial" w:cs="Arial"/>
                <w:b/>
                <w:bCs/>
                <w:sz w:val="22"/>
                <w:szCs w:val="22"/>
              </w:rPr>
            </w:pPr>
            <w:r w:rsidRPr="00F92D87">
              <w:rPr>
                <w:rFonts w:ascii="Arial" w:eastAsia="Roboto" w:hAnsi="Arial" w:cs="Arial"/>
                <w:b/>
                <w:bCs/>
                <w:color w:val="111111"/>
                <w:sz w:val="22"/>
                <w:szCs w:val="22"/>
              </w:rPr>
              <w:t>1,918</w:t>
            </w:r>
          </w:p>
        </w:tc>
        <w:tc>
          <w:tcPr>
            <w:tcW w:w="455" w:type="pct"/>
            <w:shd w:val="clear" w:color="auto" w:fill="FFFFFF"/>
            <w:tcMar>
              <w:top w:w="0" w:type="dxa"/>
              <w:left w:w="0" w:type="dxa"/>
              <w:bottom w:w="0" w:type="dxa"/>
              <w:right w:w="0" w:type="dxa"/>
            </w:tcMar>
            <w:vAlign w:val="center"/>
          </w:tcPr>
          <w:p w14:paraId="19F04AFA" w14:textId="77777777" w:rsidR="004C3088" w:rsidRPr="00F92D87" w:rsidRDefault="002556CC">
            <w:pPr>
              <w:spacing w:before="40" w:after="40"/>
              <w:ind w:left="100" w:right="100"/>
              <w:jc w:val="right"/>
              <w:rPr>
                <w:rFonts w:ascii="Arial" w:hAnsi="Arial" w:cs="Arial"/>
                <w:b/>
                <w:bCs/>
                <w:sz w:val="22"/>
                <w:szCs w:val="22"/>
              </w:rPr>
            </w:pPr>
            <w:r w:rsidRPr="00F92D87">
              <w:rPr>
                <w:rFonts w:ascii="Arial" w:eastAsia="Roboto" w:hAnsi="Arial" w:cs="Arial"/>
                <w:b/>
                <w:bCs/>
                <w:color w:val="111111"/>
                <w:sz w:val="22"/>
                <w:szCs w:val="22"/>
              </w:rPr>
              <w:t>10.2%</w:t>
            </w:r>
          </w:p>
        </w:tc>
      </w:tr>
      <w:tr w:rsidR="004C3088" w14:paraId="5C164C95" w14:textId="77777777" w:rsidTr="00F92D87">
        <w:trPr>
          <w:cantSplit/>
          <w:trHeight w:val="397"/>
          <w:jc w:val="center"/>
        </w:trPr>
        <w:tc>
          <w:tcPr>
            <w:tcW w:w="2273" w:type="pct"/>
            <w:shd w:val="clear" w:color="auto" w:fill="FFFFFF"/>
            <w:tcMar>
              <w:top w:w="0" w:type="dxa"/>
              <w:left w:w="0" w:type="dxa"/>
              <w:bottom w:w="0" w:type="dxa"/>
              <w:right w:w="0" w:type="dxa"/>
            </w:tcMar>
            <w:vAlign w:val="center"/>
          </w:tcPr>
          <w:p w14:paraId="6BA830F3"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New DPPs revoked</w:t>
            </w:r>
          </w:p>
        </w:tc>
        <w:tc>
          <w:tcPr>
            <w:tcW w:w="455" w:type="pct"/>
            <w:shd w:val="clear" w:color="auto" w:fill="FFFFFF"/>
            <w:tcMar>
              <w:top w:w="0" w:type="dxa"/>
              <w:left w:w="0" w:type="dxa"/>
              <w:bottom w:w="0" w:type="dxa"/>
              <w:right w:w="0" w:type="dxa"/>
            </w:tcMar>
            <w:vAlign w:val="center"/>
          </w:tcPr>
          <w:p w14:paraId="2E6AB93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1,125</w:t>
            </w:r>
          </w:p>
        </w:tc>
        <w:tc>
          <w:tcPr>
            <w:tcW w:w="455" w:type="pct"/>
            <w:shd w:val="clear" w:color="auto" w:fill="FFFFFF"/>
            <w:tcMar>
              <w:top w:w="0" w:type="dxa"/>
              <w:left w:w="0" w:type="dxa"/>
              <w:bottom w:w="0" w:type="dxa"/>
              <w:right w:w="0" w:type="dxa"/>
            </w:tcMar>
            <w:vAlign w:val="center"/>
          </w:tcPr>
          <w:p w14:paraId="4F502BD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766</w:t>
            </w:r>
          </w:p>
        </w:tc>
        <w:tc>
          <w:tcPr>
            <w:tcW w:w="455" w:type="pct"/>
            <w:shd w:val="clear" w:color="auto" w:fill="FFFFFF"/>
            <w:tcMar>
              <w:top w:w="0" w:type="dxa"/>
              <w:left w:w="0" w:type="dxa"/>
              <w:bottom w:w="0" w:type="dxa"/>
              <w:right w:w="0" w:type="dxa"/>
            </w:tcMar>
            <w:vAlign w:val="center"/>
          </w:tcPr>
          <w:p w14:paraId="51AF1ED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647</w:t>
            </w:r>
          </w:p>
        </w:tc>
        <w:tc>
          <w:tcPr>
            <w:tcW w:w="455" w:type="pct"/>
            <w:shd w:val="clear" w:color="auto" w:fill="FFFFFF"/>
            <w:tcMar>
              <w:top w:w="0" w:type="dxa"/>
              <w:left w:w="0" w:type="dxa"/>
              <w:bottom w:w="0" w:type="dxa"/>
              <w:right w:w="0" w:type="dxa"/>
            </w:tcMar>
            <w:vAlign w:val="center"/>
          </w:tcPr>
          <w:p w14:paraId="463FE7D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1,588</w:t>
            </w:r>
          </w:p>
        </w:tc>
        <w:tc>
          <w:tcPr>
            <w:tcW w:w="455" w:type="pct"/>
            <w:shd w:val="clear" w:color="auto" w:fill="FFFFFF"/>
            <w:tcMar>
              <w:top w:w="0" w:type="dxa"/>
              <w:left w:w="0" w:type="dxa"/>
              <w:bottom w:w="0" w:type="dxa"/>
              <w:right w:w="0" w:type="dxa"/>
            </w:tcMar>
            <w:vAlign w:val="center"/>
          </w:tcPr>
          <w:p w14:paraId="1CAEF27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1,599</w:t>
            </w:r>
          </w:p>
        </w:tc>
        <w:tc>
          <w:tcPr>
            <w:tcW w:w="455" w:type="pct"/>
            <w:shd w:val="clear" w:color="auto" w:fill="FFFFFF"/>
            <w:tcMar>
              <w:top w:w="0" w:type="dxa"/>
              <w:left w:w="0" w:type="dxa"/>
              <w:bottom w:w="0" w:type="dxa"/>
              <w:right w:w="0" w:type="dxa"/>
            </w:tcMar>
            <w:vAlign w:val="center"/>
          </w:tcPr>
          <w:p w14:paraId="7E9959C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0.7%</w:t>
            </w:r>
          </w:p>
        </w:tc>
      </w:tr>
      <w:tr w:rsidR="004C3088" w14:paraId="57337324" w14:textId="77777777" w:rsidTr="00F92D87">
        <w:trPr>
          <w:cantSplit/>
          <w:trHeight w:val="839"/>
          <w:jc w:val="center"/>
        </w:trPr>
        <w:tc>
          <w:tcPr>
            <w:tcW w:w="2273" w:type="pct"/>
            <w:tcBorders>
              <w:bottom w:val="single" w:sz="8" w:space="0" w:color="BEBEBE"/>
            </w:tcBorders>
            <w:shd w:val="clear" w:color="auto" w:fill="FFFFFF"/>
            <w:tcMar>
              <w:top w:w="0" w:type="dxa"/>
              <w:left w:w="0" w:type="dxa"/>
              <w:bottom w:w="0" w:type="dxa"/>
              <w:right w:w="0" w:type="dxa"/>
            </w:tcMar>
            <w:vAlign w:val="center"/>
          </w:tcPr>
          <w:p w14:paraId="5E84E4F1"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Live cases at the end of the financial year</w:t>
            </w:r>
          </w:p>
        </w:tc>
        <w:tc>
          <w:tcPr>
            <w:tcW w:w="455" w:type="pct"/>
            <w:tcBorders>
              <w:bottom w:val="single" w:sz="8" w:space="0" w:color="BEBEBE"/>
            </w:tcBorders>
            <w:shd w:val="clear" w:color="auto" w:fill="FFFFFF"/>
            <w:tcMar>
              <w:top w:w="0" w:type="dxa"/>
              <w:left w:w="0" w:type="dxa"/>
              <w:bottom w:w="0" w:type="dxa"/>
              <w:right w:w="0" w:type="dxa"/>
            </w:tcMar>
            <w:vAlign w:val="center"/>
          </w:tcPr>
          <w:p w14:paraId="2B4FD23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12,171</w:t>
            </w:r>
          </w:p>
        </w:tc>
        <w:tc>
          <w:tcPr>
            <w:tcW w:w="455" w:type="pct"/>
            <w:tcBorders>
              <w:bottom w:val="single" w:sz="8" w:space="0" w:color="BEBEBE"/>
            </w:tcBorders>
            <w:shd w:val="clear" w:color="auto" w:fill="FFFFFF"/>
            <w:tcMar>
              <w:top w:w="0" w:type="dxa"/>
              <w:left w:w="0" w:type="dxa"/>
              <w:bottom w:w="0" w:type="dxa"/>
              <w:right w:w="0" w:type="dxa"/>
            </w:tcMar>
            <w:vAlign w:val="center"/>
          </w:tcPr>
          <w:p w14:paraId="3040213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12,913</w:t>
            </w:r>
          </w:p>
        </w:tc>
        <w:tc>
          <w:tcPr>
            <w:tcW w:w="455" w:type="pct"/>
            <w:tcBorders>
              <w:bottom w:val="single" w:sz="8" w:space="0" w:color="BEBEBE"/>
            </w:tcBorders>
            <w:shd w:val="clear" w:color="auto" w:fill="FFFFFF"/>
            <w:tcMar>
              <w:top w:w="0" w:type="dxa"/>
              <w:left w:w="0" w:type="dxa"/>
              <w:bottom w:w="0" w:type="dxa"/>
              <w:right w:w="0" w:type="dxa"/>
            </w:tcMar>
            <w:vAlign w:val="center"/>
          </w:tcPr>
          <w:p w14:paraId="2747B67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14,131</w:t>
            </w:r>
          </w:p>
        </w:tc>
        <w:tc>
          <w:tcPr>
            <w:tcW w:w="455" w:type="pct"/>
            <w:tcBorders>
              <w:bottom w:val="single" w:sz="8" w:space="0" w:color="BEBEBE"/>
            </w:tcBorders>
            <w:shd w:val="clear" w:color="auto" w:fill="FFFFFF"/>
            <w:tcMar>
              <w:top w:w="0" w:type="dxa"/>
              <w:left w:w="0" w:type="dxa"/>
              <w:bottom w:w="0" w:type="dxa"/>
              <w:right w:w="0" w:type="dxa"/>
            </w:tcMar>
            <w:vAlign w:val="center"/>
          </w:tcPr>
          <w:p w14:paraId="052ED70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15,292</w:t>
            </w:r>
          </w:p>
        </w:tc>
        <w:tc>
          <w:tcPr>
            <w:tcW w:w="455" w:type="pct"/>
            <w:tcBorders>
              <w:bottom w:val="single" w:sz="8" w:space="0" w:color="BEBEBE"/>
            </w:tcBorders>
            <w:shd w:val="clear" w:color="auto" w:fill="FFFFFF"/>
            <w:tcMar>
              <w:top w:w="0" w:type="dxa"/>
              <w:left w:w="0" w:type="dxa"/>
              <w:bottom w:w="0" w:type="dxa"/>
              <w:right w:w="0" w:type="dxa"/>
            </w:tcMar>
            <w:vAlign w:val="center"/>
          </w:tcPr>
          <w:p w14:paraId="70FB25E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16,721</w:t>
            </w:r>
          </w:p>
        </w:tc>
        <w:tc>
          <w:tcPr>
            <w:tcW w:w="455" w:type="pct"/>
            <w:tcBorders>
              <w:bottom w:val="single" w:sz="8" w:space="0" w:color="BEBEBE"/>
            </w:tcBorders>
            <w:shd w:val="clear" w:color="auto" w:fill="FFFFFF"/>
            <w:tcMar>
              <w:top w:w="0" w:type="dxa"/>
              <w:left w:w="0" w:type="dxa"/>
              <w:bottom w:w="0" w:type="dxa"/>
              <w:right w:w="0" w:type="dxa"/>
            </w:tcMar>
            <w:vAlign w:val="center"/>
          </w:tcPr>
          <w:p w14:paraId="6DEA791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9.3%</w:t>
            </w:r>
          </w:p>
        </w:tc>
      </w:tr>
      <w:tr w:rsidR="004C3088" w14:paraId="3107BA3F" w14:textId="77777777" w:rsidTr="00F92D87">
        <w:trPr>
          <w:cantSplit/>
          <w:trHeight w:val="839"/>
          <w:jc w:val="center"/>
        </w:trPr>
        <w:tc>
          <w:tcPr>
            <w:tcW w:w="2273" w:type="pct"/>
            <w:shd w:val="clear" w:color="auto" w:fill="FFFFFF"/>
            <w:tcMar>
              <w:top w:w="0" w:type="dxa"/>
              <w:left w:w="0" w:type="dxa"/>
              <w:bottom w:w="0" w:type="dxa"/>
              <w:right w:w="0" w:type="dxa"/>
            </w:tcMar>
            <w:vAlign w:val="center"/>
          </w:tcPr>
          <w:p w14:paraId="6BD5108E"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Total amount of debts included in live DPPs (£ million)</w:t>
            </w:r>
          </w:p>
        </w:tc>
        <w:tc>
          <w:tcPr>
            <w:tcW w:w="455" w:type="pct"/>
            <w:shd w:val="clear" w:color="auto" w:fill="FFFFFF"/>
            <w:tcMar>
              <w:top w:w="0" w:type="dxa"/>
              <w:left w:w="0" w:type="dxa"/>
              <w:bottom w:w="0" w:type="dxa"/>
              <w:right w:w="0" w:type="dxa"/>
            </w:tcMar>
            <w:vAlign w:val="center"/>
          </w:tcPr>
          <w:p w14:paraId="67E907A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268</w:t>
            </w:r>
          </w:p>
        </w:tc>
        <w:tc>
          <w:tcPr>
            <w:tcW w:w="455" w:type="pct"/>
            <w:shd w:val="clear" w:color="auto" w:fill="FFFFFF"/>
            <w:tcMar>
              <w:top w:w="0" w:type="dxa"/>
              <w:left w:w="0" w:type="dxa"/>
              <w:bottom w:w="0" w:type="dxa"/>
              <w:right w:w="0" w:type="dxa"/>
            </w:tcMar>
            <w:vAlign w:val="center"/>
          </w:tcPr>
          <w:p w14:paraId="71D86DD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297</w:t>
            </w:r>
          </w:p>
        </w:tc>
        <w:tc>
          <w:tcPr>
            <w:tcW w:w="455" w:type="pct"/>
            <w:shd w:val="clear" w:color="auto" w:fill="FFFFFF"/>
            <w:tcMar>
              <w:top w:w="0" w:type="dxa"/>
              <w:left w:w="0" w:type="dxa"/>
              <w:bottom w:w="0" w:type="dxa"/>
              <w:right w:w="0" w:type="dxa"/>
            </w:tcMar>
            <w:vAlign w:val="center"/>
          </w:tcPr>
          <w:p w14:paraId="16FB6DF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326</w:t>
            </w:r>
          </w:p>
        </w:tc>
        <w:tc>
          <w:tcPr>
            <w:tcW w:w="455" w:type="pct"/>
            <w:shd w:val="clear" w:color="auto" w:fill="FFFFFF"/>
            <w:tcMar>
              <w:top w:w="0" w:type="dxa"/>
              <w:left w:w="0" w:type="dxa"/>
              <w:bottom w:w="0" w:type="dxa"/>
              <w:right w:w="0" w:type="dxa"/>
            </w:tcMar>
            <w:vAlign w:val="center"/>
          </w:tcPr>
          <w:p w14:paraId="46B7271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337</w:t>
            </w:r>
          </w:p>
        </w:tc>
        <w:tc>
          <w:tcPr>
            <w:tcW w:w="455" w:type="pct"/>
            <w:shd w:val="clear" w:color="auto" w:fill="FFFFFF"/>
            <w:tcMar>
              <w:top w:w="0" w:type="dxa"/>
              <w:left w:w="0" w:type="dxa"/>
              <w:bottom w:w="0" w:type="dxa"/>
              <w:right w:w="0" w:type="dxa"/>
            </w:tcMar>
            <w:vAlign w:val="center"/>
          </w:tcPr>
          <w:p w14:paraId="7B63E00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357</w:t>
            </w:r>
          </w:p>
        </w:tc>
        <w:tc>
          <w:tcPr>
            <w:tcW w:w="455" w:type="pct"/>
            <w:shd w:val="clear" w:color="auto" w:fill="FFFFFF"/>
            <w:tcMar>
              <w:top w:w="0" w:type="dxa"/>
              <w:left w:w="0" w:type="dxa"/>
              <w:bottom w:w="0" w:type="dxa"/>
              <w:right w:w="0" w:type="dxa"/>
            </w:tcMar>
            <w:vAlign w:val="center"/>
          </w:tcPr>
          <w:p w14:paraId="4195F5E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5.9%</w:t>
            </w:r>
          </w:p>
        </w:tc>
      </w:tr>
      <w:tr w:rsidR="004C3088" w14:paraId="37FD1BA2" w14:textId="77777777" w:rsidTr="00F92D87">
        <w:trPr>
          <w:cantSplit/>
          <w:trHeight w:val="839"/>
          <w:jc w:val="center"/>
        </w:trPr>
        <w:tc>
          <w:tcPr>
            <w:tcW w:w="5000" w:type="pct"/>
            <w:gridSpan w:val="7"/>
            <w:tcBorders>
              <w:top w:val="single" w:sz="8" w:space="0" w:color="BEBEBE"/>
            </w:tcBorders>
            <w:shd w:val="clear" w:color="auto" w:fill="FFFFFF"/>
            <w:tcMar>
              <w:top w:w="0" w:type="dxa"/>
              <w:left w:w="0" w:type="dxa"/>
              <w:bottom w:w="0" w:type="dxa"/>
              <w:right w:w="0" w:type="dxa"/>
            </w:tcMar>
            <w:vAlign w:val="center"/>
          </w:tcPr>
          <w:p w14:paraId="1080CB1F" w14:textId="77777777" w:rsidR="004C3088" w:rsidRPr="00F92D87" w:rsidRDefault="002556CC">
            <w:pPr>
              <w:spacing w:after="0"/>
              <w:rPr>
                <w:rFonts w:ascii="Arial" w:hAnsi="Arial" w:cs="Arial"/>
                <w:sz w:val="22"/>
                <w:szCs w:val="22"/>
              </w:rPr>
            </w:pPr>
            <w:r w:rsidRPr="00F92D87">
              <w:rPr>
                <w:rFonts w:ascii="Arial" w:eastAsia="Arial" w:hAnsi="Arial" w:cs="Arial"/>
                <w:color w:val="000000"/>
                <w:sz w:val="22"/>
                <w:szCs w:val="22"/>
              </w:rPr>
              <w:t>Source: Accountant in Bankruptcy</w:t>
            </w:r>
          </w:p>
        </w:tc>
      </w:tr>
    </w:tbl>
    <w:p w14:paraId="0419F89C" w14:textId="77777777" w:rsidR="004C3088" w:rsidRDefault="004C3088">
      <w:pPr>
        <w:pStyle w:val="BodyText"/>
      </w:pPr>
    </w:p>
    <w:p w14:paraId="73633B94" w14:textId="77777777" w:rsidR="004C3088" w:rsidRDefault="002556CC">
      <w:pPr>
        <w:pStyle w:val="Heading3"/>
      </w:pPr>
      <w:bookmarkStart w:id="25" w:name="dpps-by-local-authority-in-2022-23"/>
      <w:r>
        <w:t>DPPs by local authority in 2022-23</w:t>
      </w:r>
      <w:bookmarkEnd w:id="25"/>
    </w:p>
    <w:p w14:paraId="40F1A4D6" w14:textId="77777777" w:rsidR="004C3088" w:rsidRDefault="002556CC">
      <w:pPr>
        <w:pStyle w:val="FirstParagraph"/>
      </w:pPr>
      <w:r>
        <w:t>The rate of DAS DPPs per 10,000 adult population in Scotland was 11 in 2022-23 compared with 10 in 2021-22.</w:t>
      </w:r>
    </w:p>
    <w:p w14:paraId="114D7A31" w14:textId="77777777" w:rsidR="004C3088" w:rsidRDefault="002556CC">
      <w:pPr>
        <w:pStyle w:val="BodyText"/>
      </w:pPr>
      <w:r>
        <w:t>Local Authority Chart 3 and the associated heatmap that depict DAS rates show that North Lanarkshire was the local authority with the highest rate of DPPs per 10,000 adults with the lowest in City of Edinburgh.</w:t>
      </w:r>
    </w:p>
    <w:p w14:paraId="6455521C" w14:textId="77777777" w:rsidR="004C3088" w:rsidRDefault="002556CC">
      <w:pPr>
        <w:pStyle w:val="BodyText"/>
      </w:pPr>
      <w:r>
        <w:t>Approved DPPs under DAS (and for other statutory debt solutions) by local authority and for previous years are available in the accompanying tables.</w:t>
      </w:r>
    </w:p>
    <w:p w14:paraId="383BF1BC" w14:textId="77777777" w:rsidR="004C3088" w:rsidRDefault="004C3088">
      <w:pPr>
        <w:pStyle w:val="BodyText"/>
      </w:pPr>
    </w:p>
    <w:p w14:paraId="6EB592E9" w14:textId="77777777" w:rsidR="004C3088" w:rsidRDefault="002556CC">
      <w:pPr>
        <w:pStyle w:val="CaptionedFigure"/>
      </w:pPr>
      <w:r>
        <w:rPr>
          <w:noProof/>
        </w:rPr>
        <w:lastRenderedPageBreak/>
        <w:drawing>
          <wp:inline distT="0" distB="0" distL="0" distR="0" wp14:anchorId="75FE9D50" wp14:editId="43E5EFF0">
            <wp:extent cx="5943600" cy="4242598"/>
            <wp:effectExtent l="0" t="0" r="0" b="0"/>
            <wp:docPr id="19" name="Picture" descr="Local Authority Chart 3 shows the top and bottom three rates of DAS DPPs per 10,000 adults in 2022-23. This chart shows that North Lanarkshire has the highest rate per 10,000 adults."/>
            <wp:cNvGraphicFramePr/>
            <a:graphic xmlns:a="http://schemas.openxmlformats.org/drawingml/2006/main">
              <a:graphicData uri="http://schemas.openxmlformats.org/drawingml/2006/picture">
                <pic:pic xmlns:pic="http://schemas.openxmlformats.org/drawingml/2006/picture">
                  <pic:nvPicPr>
                    <pic:cNvPr id="20" name="Picture" descr="_pub_chart_la_3_plot.png"/>
                    <pic:cNvPicPr>
                      <a:picLocks noChangeAspect="1" noChangeArrowheads="1"/>
                    </pic:cNvPicPr>
                  </pic:nvPicPr>
                  <pic:blipFill>
                    <a:blip r:embed="rId27"/>
                    <a:stretch>
                      <a:fillRect/>
                    </a:stretch>
                  </pic:blipFill>
                  <pic:spPr bwMode="auto">
                    <a:xfrm>
                      <a:off x="0" y="0"/>
                      <a:ext cx="5943600" cy="4242598"/>
                    </a:xfrm>
                    <a:prstGeom prst="rect">
                      <a:avLst/>
                    </a:prstGeom>
                    <a:noFill/>
                    <a:ln w="9525">
                      <a:noFill/>
                      <a:headEnd/>
                      <a:tailEnd/>
                    </a:ln>
                  </pic:spPr>
                </pic:pic>
              </a:graphicData>
            </a:graphic>
          </wp:inline>
        </w:drawing>
      </w:r>
    </w:p>
    <w:p w14:paraId="7B4FACC1" w14:textId="77777777" w:rsidR="004C3088" w:rsidRDefault="004C3088">
      <w:pPr>
        <w:pStyle w:val="BodyText"/>
      </w:pPr>
    </w:p>
    <w:p w14:paraId="3AA3628C" w14:textId="77777777" w:rsidR="004C3088" w:rsidRDefault="002556CC">
      <w:pPr>
        <w:pStyle w:val="CaptionedFigure"/>
      </w:pPr>
      <w:r>
        <w:rPr>
          <w:noProof/>
        </w:rPr>
        <w:lastRenderedPageBreak/>
        <w:drawing>
          <wp:inline distT="0" distB="0" distL="0" distR="0" wp14:anchorId="673296FD" wp14:editId="1AD748B8">
            <wp:extent cx="5504749" cy="8171494"/>
            <wp:effectExtent l="0" t="0" r="0" b="0"/>
            <wp:docPr id="21" name="Picture" descr="Heat Map 3 shows the DAS DPP rates in each local authority in 2022-23 by grouping intervals of 5. This heat map shows that North Lanarkshire is in one of the highest groupings."/>
            <wp:cNvGraphicFramePr/>
            <a:graphic xmlns:a="http://schemas.openxmlformats.org/drawingml/2006/main">
              <a:graphicData uri="http://schemas.openxmlformats.org/drawingml/2006/picture">
                <pic:pic xmlns:pic="http://schemas.openxmlformats.org/drawingml/2006/picture">
                  <pic:nvPicPr>
                    <pic:cNvPr id="22" name="Picture" descr="_DAS%20by%20LA%202022-23%20-%201.png"/>
                    <pic:cNvPicPr>
                      <a:picLocks noChangeAspect="1" noChangeArrowheads="1"/>
                    </pic:cNvPicPr>
                  </pic:nvPicPr>
                  <pic:blipFill>
                    <a:blip r:embed="rId28"/>
                    <a:stretch>
                      <a:fillRect/>
                    </a:stretch>
                  </pic:blipFill>
                  <pic:spPr bwMode="auto">
                    <a:xfrm>
                      <a:off x="0" y="0"/>
                      <a:ext cx="5504749" cy="8171494"/>
                    </a:xfrm>
                    <a:prstGeom prst="rect">
                      <a:avLst/>
                    </a:prstGeom>
                    <a:noFill/>
                    <a:ln w="9525">
                      <a:noFill/>
                      <a:headEnd/>
                      <a:tailEnd/>
                    </a:ln>
                  </pic:spPr>
                </pic:pic>
              </a:graphicData>
            </a:graphic>
          </wp:inline>
        </w:drawing>
      </w:r>
    </w:p>
    <w:p w14:paraId="4A39415A" w14:textId="77777777" w:rsidR="004C3088" w:rsidRDefault="002556CC">
      <w:pPr>
        <w:pStyle w:val="Heading2"/>
      </w:pPr>
      <w:bookmarkStart w:id="26" w:name="outcome-of-dpps"/>
      <w:bookmarkStart w:id="27" w:name="_Toc142064473"/>
      <w:r>
        <w:lastRenderedPageBreak/>
        <w:t>Outcome of DPPs</w:t>
      </w:r>
      <w:bookmarkEnd w:id="26"/>
      <w:bookmarkEnd w:id="27"/>
    </w:p>
    <w:p w14:paraId="118CE8D3" w14:textId="77777777" w:rsidR="004C3088" w:rsidRDefault="002556CC">
      <w:pPr>
        <w:pStyle w:val="FirstParagraph"/>
      </w:pPr>
      <w:r>
        <w:t>Since DAS was introduced, just over 46,800 DAS DPPs have been approved. Looking at each DAS case it can be established whether it has been completed, revoked or remains live and ongoing.</w:t>
      </w:r>
    </w:p>
    <w:p w14:paraId="65CC92EF" w14:textId="26E68AA5" w:rsidR="004C3088" w:rsidRDefault="002556CC">
      <w:pPr>
        <w:pStyle w:val="BodyText"/>
      </w:pPr>
      <w:r>
        <w:t>Table 9 below shows the outcome status for DAS cases by financial year of the approval date as at 31 March 2023. It should be noted that around 35.7% of DAS cases are still ongoing and a DPP approved in the last three financial years is expected to last for between 6.5 and 7.</w:t>
      </w:r>
      <w:r w:rsidR="00D34820">
        <w:t>1</w:t>
      </w:r>
      <w:r>
        <w:t xml:space="preserve"> years. Consequently these figures need to be interpreted with caution.</w:t>
      </w:r>
    </w:p>
    <w:p w14:paraId="742DC213" w14:textId="77777777" w:rsidR="004C3088" w:rsidRDefault="002556CC">
      <w:pPr>
        <w:pStyle w:val="BodyText"/>
      </w:pPr>
      <w:r>
        <w:t>Note that figures presented in Table 9 are not consistent with the official, headline statistics. This is because these figures are based on data extracted from the live DAS database at a different point in time. Furthermore, all DPPs approved in earlier years are mainly affected by missing information due to AiB’s data retention and destruction policy. For example, all information for revoked cases must be removed from the system two years after the date of revocation, and all information for completed cases must be removed three years after the date of completion.</w:t>
      </w:r>
    </w:p>
    <w:p w14:paraId="01C218C2" w14:textId="77777777" w:rsidR="002556CC" w:rsidRDefault="002556CC" w:rsidP="002556CC">
      <w:pPr>
        <w:pStyle w:val="BodyText"/>
      </w:pPr>
    </w:p>
    <w:p w14:paraId="1A7B3848" w14:textId="0E3C8A18" w:rsidR="004C3088" w:rsidRDefault="002556CC" w:rsidP="002556CC">
      <w:pPr>
        <w:pStyle w:val="BodyText"/>
      </w:pPr>
      <w:r>
        <w:t>Table 9: Number of DPPs by outcome, duration and length of survival</w:t>
      </w:r>
    </w:p>
    <w:tbl>
      <w:tblPr>
        <w:tblW w:w="5000" w:type="pct"/>
        <w:jc w:val="center"/>
        <w:tblLook w:val="04A0" w:firstRow="1" w:lastRow="0" w:firstColumn="1" w:lastColumn="0" w:noHBand="0" w:noVBand="1"/>
      </w:tblPr>
      <w:tblGrid>
        <w:gridCol w:w="2285"/>
        <w:gridCol w:w="763"/>
        <w:gridCol w:w="763"/>
        <w:gridCol w:w="763"/>
        <w:gridCol w:w="763"/>
        <w:gridCol w:w="763"/>
        <w:gridCol w:w="763"/>
        <w:gridCol w:w="763"/>
        <w:gridCol w:w="763"/>
        <w:gridCol w:w="971"/>
      </w:tblGrid>
      <w:tr w:rsidR="004C3088" w:rsidRPr="00F92D87" w14:paraId="52BD5FA4" w14:textId="77777777" w:rsidTr="00F92D87">
        <w:trPr>
          <w:cantSplit/>
          <w:trHeight w:val="1092"/>
          <w:tblHeader/>
          <w:jc w:val="center"/>
        </w:trPr>
        <w:tc>
          <w:tcPr>
            <w:tcW w:w="1786" w:type="pct"/>
            <w:tcBorders>
              <w:bottom w:val="single" w:sz="8" w:space="0" w:color="BEBEBE"/>
            </w:tcBorders>
            <w:shd w:val="clear" w:color="auto" w:fill="FFFFFF"/>
            <w:tcMar>
              <w:top w:w="0" w:type="dxa"/>
              <w:left w:w="0" w:type="dxa"/>
              <w:bottom w:w="0" w:type="dxa"/>
              <w:right w:w="0" w:type="dxa"/>
            </w:tcMar>
            <w:vAlign w:val="center"/>
          </w:tcPr>
          <w:p w14:paraId="042AF2DC"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Financial year of the approval date</w:t>
            </w:r>
          </w:p>
        </w:tc>
        <w:tc>
          <w:tcPr>
            <w:tcW w:w="357" w:type="pct"/>
            <w:tcBorders>
              <w:bottom w:val="single" w:sz="8" w:space="0" w:color="BEBEBE"/>
            </w:tcBorders>
            <w:shd w:val="clear" w:color="auto" w:fill="FFFFFF"/>
            <w:tcMar>
              <w:top w:w="0" w:type="dxa"/>
              <w:left w:w="0" w:type="dxa"/>
              <w:bottom w:w="0" w:type="dxa"/>
              <w:right w:w="0" w:type="dxa"/>
            </w:tcMar>
            <w:vAlign w:val="center"/>
          </w:tcPr>
          <w:p w14:paraId="7EB3871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2015-16</w:t>
            </w:r>
          </w:p>
        </w:tc>
        <w:tc>
          <w:tcPr>
            <w:tcW w:w="357" w:type="pct"/>
            <w:tcBorders>
              <w:bottom w:val="single" w:sz="8" w:space="0" w:color="BEBEBE"/>
            </w:tcBorders>
            <w:shd w:val="clear" w:color="auto" w:fill="FFFFFF"/>
            <w:tcMar>
              <w:top w:w="0" w:type="dxa"/>
              <w:left w:w="0" w:type="dxa"/>
              <w:bottom w:w="0" w:type="dxa"/>
              <w:right w:w="0" w:type="dxa"/>
            </w:tcMar>
            <w:vAlign w:val="center"/>
          </w:tcPr>
          <w:p w14:paraId="4852346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2016-17</w:t>
            </w:r>
          </w:p>
        </w:tc>
        <w:tc>
          <w:tcPr>
            <w:tcW w:w="357" w:type="pct"/>
            <w:tcBorders>
              <w:bottom w:val="single" w:sz="8" w:space="0" w:color="BEBEBE"/>
            </w:tcBorders>
            <w:shd w:val="clear" w:color="auto" w:fill="FFFFFF"/>
            <w:tcMar>
              <w:top w:w="0" w:type="dxa"/>
              <w:left w:w="0" w:type="dxa"/>
              <w:bottom w:w="0" w:type="dxa"/>
              <w:right w:w="0" w:type="dxa"/>
            </w:tcMar>
            <w:vAlign w:val="center"/>
          </w:tcPr>
          <w:p w14:paraId="14B226E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2017-18</w:t>
            </w:r>
          </w:p>
        </w:tc>
        <w:tc>
          <w:tcPr>
            <w:tcW w:w="357" w:type="pct"/>
            <w:tcBorders>
              <w:bottom w:val="single" w:sz="8" w:space="0" w:color="BEBEBE"/>
            </w:tcBorders>
            <w:shd w:val="clear" w:color="auto" w:fill="FFFFFF"/>
            <w:tcMar>
              <w:top w:w="0" w:type="dxa"/>
              <w:left w:w="0" w:type="dxa"/>
              <w:bottom w:w="0" w:type="dxa"/>
              <w:right w:w="0" w:type="dxa"/>
            </w:tcMar>
            <w:vAlign w:val="center"/>
          </w:tcPr>
          <w:p w14:paraId="118BDFB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2018-19</w:t>
            </w:r>
          </w:p>
        </w:tc>
        <w:tc>
          <w:tcPr>
            <w:tcW w:w="357" w:type="pct"/>
            <w:tcBorders>
              <w:bottom w:val="single" w:sz="8" w:space="0" w:color="BEBEBE"/>
            </w:tcBorders>
            <w:shd w:val="clear" w:color="auto" w:fill="FFFFFF"/>
            <w:tcMar>
              <w:top w:w="0" w:type="dxa"/>
              <w:left w:w="0" w:type="dxa"/>
              <w:bottom w:w="0" w:type="dxa"/>
              <w:right w:w="0" w:type="dxa"/>
            </w:tcMar>
            <w:vAlign w:val="center"/>
          </w:tcPr>
          <w:p w14:paraId="3E130B6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2019-20</w:t>
            </w:r>
          </w:p>
        </w:tc>
        <w:tc>
          <w:tcPr>
            <w:tcW w:w="357" w:type="pct"/>
            <w:tcBorders>
              <w:bottom w:val="single" w:sz="8" w:space="0" w:color="BEBEBE"/>
            </w:tcBorders>
            <w:shd w:val="clear" w:color="auto" w:fill="FFFFFF"/>
            <w:tcMar>
              <w:top w:w="0" w:type="dxa"/>
              <w:left w:w="0" w:type="dxa"/>
              <w:bottom w:w="0" w:type="dxa"/>
              <w:right w:w="0" w:type="dxa"/>
            </w:tcMar>
            <w:vAlign w:val="center"/>
          </w:tcPr>
          <w:p w14:paraId="7BA8918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2020-21</w:t>
            </w:r>
          </w:p>
        </w:tc>
        <w:tc>
          <w:tcPr>
            <w:tcW w:w="357" w:type="pct"/>
            <w:tcBorders>
              <w:bottom w:val="single" w:sz="8" w:space="0" w:color="BEBEBE"/>
            </w:tcBorders>
            <w:shd w:val="clear" w:color="auto" w:fill="FFFFFF"/>
            <w:tcMar>
              <w:top w:w="0" w:type="dxa"/>
              <w:left w:w="0" w:type="dxa"/>
              <w:bottom w:w="0" w:type="dxa"/>
              <w:right w:w="0" w:type="dxa"/>
            </w:tcMar>
            <w:vAlign w:val="center"/>
          </w:tcPr>
          <w:p w14:paraId="0CE2F91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2021-22</w:t>
            </w:r>
          </w:p>
        </w:tc>
        <w:tc>
          <w:tcPr>
            <w:tcW w:w="357" w:type="pct"/>
            <w:tcBorders>
              <w:bottom w:val="single" w:sz="8" w:space="0" w:color="BEBEBE"/>
            </w:tcBorders>
            <w:shd w:val="clear" w:color="auto" w:fill="FFFFFF"/>
            <w:tcMar>
              <w:top w:w="0" w:type="dxa"/>
              <w:left w:w="0" w:type="dxa"/>
              <w:bottom w:w="0" w:type="dxa"/>
              <w:right w:w="0" w:type="dxa"/>
            </w:tcMar>
            <w:vAlign w:val="center"/>
          </w:tcPr>
          <w:p w14:paraId="7A7A277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2022-23</w:t>
            </w:r>
          </w:p>
        </w:tc>
        <w:tc>
          <w:tcPr>
            <w:tcW w:w="357" w:type="pct"/>
            <w:tcBorders>
              <w:bottom w:val="single" w:sz="8" w:space="0" w:color="BEBEBE"/>
            </w:tcBorders>
            <w:shd w:val="clear" w:color="auto" w:fill="FFFFFF"/>
            <w:tcMar>
              <w:top w:w="0" w:type="dxa"/>
              <w:left w:w="0" w:type="dxa"/>
              <w:bottom w:w="0" w:type="dxa"/>
              <w:right w:w="0" w:type="dxa"/>
            </w:tcMar>
            <w:vAlign w:val="center"/>
          </w:tcPr>
          <w:p w14:paraId="3B47F63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Annual change (%)</w:t>
            </w:r>
          </w:p>
        </w:tc>
      </w:tr>
      <w:tr w:rsidR="004C3088" w:rsidRPr="00F92D87" w14:paraId="65124ACA" w14:textId="77777777" w:rsidTr="00F92D87">
        <w:trPr>
          <w:cantSplit/>
          <w:trHeight w:val="1092"/>
          <w:jc w:val="center"/>
        </w:trPr>
        <w:tc>
          <w:tcPr>
            <w:tcW w:w="1786" w:type="pct"/>
            <w:shd w:val="clear" w:color="auto" w:fill="FFFFFF"/>
            <w:tcMar>
              <w:top w:w="0" w:type="dxa"/>
              <w:left w:w="0" w:type="dxa"/>
              <w:bottom w:w="0" w:type="dxa"/>
              <w:right w:w="0" w:type="dxa"/>
            </w:tcMar>
            <w:vAlign w:val="center"/>
          </w:tcPr>
          <w:p w14:paraId="460AF13E"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Median expected duration for live DPPs (years)</w:t>
            </w:r>
          </w:p>
        </w:tc>
        <w:tc>
          <w:tcPr>
            <w:tcW w:w="357" w:type="pct"/>
            <w:shd w:val="clear" w:color="auto" w:fill="FFFFFF"/>
            <w:tcMar>
              <w:top w:w="0" w:type="dxa"/>
              <w:left w:w="0" w:type="dxa"/>
              <w:bottom w:w="0" w:type="dxa"/>
              <w:right w:w="0" w:type="dxa"/>
            </w:tcMar>
            <w:vAlign w:val="center"/>
          </w:tcPr>
          <w:p w14:paraId="2CD5A91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9.8</w:t>
            </w:r>
          </w:p>
        </w:tc>
        <w:tc>
          <w:tcPr>
            <w:tcW w:w="357" w:type="pct"/>
            <w:shd w:val="clear" w:color="auto" w:fill="FFFFFF"/>
            <w:tcMar>
              <w:top w:w="0" w:type="dxa"/>
              <w:left w:w="0" w:type="dxa"/>
              <w:bottom w:w="0" w:type="dxa"/>
              <w:right w:w="0" w:type="dxa"/>
            </w:tcMar>
            <w:vAlign w:val="center"/>
          </w:tcPr>
          <w:p w14:paraId="1BC5DCA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9.3</w:t>
            </w:r>
          </w:p>
        </w:tc>
        <w:tc>
          <w:tcPr>
            <w:tcW w:w="357" w:type="pct"/>
            <w:shd w:val="clear" w:color="auto" w:fill="FFFFFF"/>
            <w:tcMar>
              <w:top w:w="0" w:type="dxa"/>
              <w:left w:w="0" w:type="dxa"/>
              <w:bottom w:w="0" w:type="dxa"/>
              <w:right w:w="0" w:type="dxa"/>
            </w:tcMar>
            <w:vAlign w:val="center"/>
          </w:tcPr>
          <w:p w14:paraId="10AFF7E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8.5</w:t>
            </w:r>
          </w:p>
        </w:tc>
        <w:tc>
          <w:tcPr>
            <w:tcW w:w="357" w:type="pct"/>
            <w:shd w:val="clear" w:color="auto" w:fill="FFFFFF"/>
            <w:tcMar>
              <w:top w:w="0" w:type="dxa"/>
              <w:left w:w="0" w:type="dxa"/>
              <w:bottom w:w="0" w:type="dxa"/>
              <w:right w:w="0" w:type="dxa"/>
            </w:tcMar>
            <w:vAlign w:val="center"/>
          </w:tcPr>
          <w:p w14:paraId="49C6E41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8.1</w:t>
            </w:r>
          </w:p>
        </w:tc>
        <w:tc>
          <w:tcPr>
            <w:tcW w:w="357" w:type="pct"/>
            <w:shd w:val="clear" w:color="auto" w:fill="FFFFFF"/>
            <w:tcMar>
              <w:top w:w="0" w:type="dxa"/>
              <w:left w:w="0" w:type="dxa"/>
              <w:bottom w:w="0" w:type="dxa"/>
              <w:right w:w="0" w:type="dxa"/>
            </w:tcMar>
            <w:vAlign w:val="center"/>
          </w:tcPr>
          <w:p w14:paraId="6E29FC0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7.4</w:t>
            </w:r>
          </w:p>
        </w:tc>
        <w:tc>
          <w:tcPr>
            <w:tcW w:w="357" w:type="pct"/>
            <w:shd w:val="clear" w:color="auto" w:fill="FFFFFF"/>
            <w:tcMar>
              <w:top w:w="0" w:type="dxa"/>
              <w:left w:w="0" w:type="dxa"/>
              <w:bottom w:w="0" w:type="dxa"/>
              <w:right w:w="0" w:type="dxa"/>
            </w:tcMar>
            <w:vAlign w:val="center"/>
          </w:tcPr>
          <w:p w14:paraId="5BB6B46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7.1</w:t>
            </w:r>
          </w:p>
        </w:tc>
        <w:tc>
          <w:tcPr>
            <w:tcW w:w="357" w:type="pct"/>
            <w:shd w:val="clear" w:color="auto" w:fill="FFFFFF"/>
            <w:tcMar>
              <w:top w:w="0" w:type="dxa"/>
              <w:left w:w="0" w:type="dxa"/>
              <w:bottom w:w="0" w:type="dxa"/>
              <w:right w:w="0" w:type="dxa"/>
            </w:tcMar>
            <w:vAlign w:val="center"/>
          </w:tcPr>
          <w:p w14:paraId="0B33595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6.5</w:t>
            </w:r>
          </w:p>
        </w:tc>
        <w:tc>
          <w:tcPr>
            <w:tcW w:w="357" w:type="pct"/>
            <w:shd w:val="clear" w:color="auto" w:fill="FFFFFF"/>
            <w:tcMar>
              <w:top w:w="0" w:type="dxa"/>
              <w:left w:w="0" w:type="dxa"/>
              <w:bottom w:w="0" w:type="dxa"/>
              <w:right w:w="0" w:type="dxa"/>
            </w:tcMar>
            <w:vAlign w:val="center"/>
          </w:tcPr>
          <w:p w14:paraId="4BF71F7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6.5</w:t>
            </w:r>
          </w:p>
        </w:tc>
        <w:tc>
          <w:tcPr>
            <w:tcW w:w="357" w:type="pct"/>
            <w:shd w:val="clear" w:color="auto" w:fill="FFFFFF"/>
            <w:tcMar>
              <w:top w:w="0" w:type="dxa"/>
              <w:left w:w="0" w:type="dxa"/>
              <w:bottom w:w="0" w:type="dxa"/>
              <w:right w:w="0" w:type="dxa"/>
            </w:tcMar>
            <w:vAlign w:val="center"/>
          </w:tcPr>
          <w:p w14:paraId="62800A2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[z]</w:t>
            </w:r>
          </w:p>
        </w:tc>
      </w:tr>
      <w:tr w:rsidR="004C3088" w:rsidRPr="00F92D87" w14:paraId="3AB478F2" w14:textId="77777777" w:rsidTr="00F92D87">
        <w:trPr>
          <w:cantSplit/>
          <w:trHeight w:val="1092"/>
          <w:jc w:val="center"/>
        </w:trPr>
        <w:tc>
          <w:tcPr>
            <w:tcW w:w="1786" w:type="pct"/>
            <w:shd w:val="clear" w:color="auto" w:fill="FFFFFF"/>
            <w:tcMar>
              <w:top w:w="0" w:type="dxa"/>
              <w:left w:w="0" w:type="dxa"/>
              <w:bottom w:w="0" w:type="dxa"/>
              <w:right w:w="0" w:type="dxa"/>
            </w:tcMar>
            <w:vAlign w:val="center"/>
          </w:tcPr>
          <w:p w14:paraId="09CC124F"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Median actual duration for completed DPPs (years)</w:t>
            </w:r>
          </w:p>
        </w:tc>
        <w:tc>
          <w:tcPr>
            <w:tcW w:w="357" w:type="pct"/>
            <w:shd w:val="clear" w:color="auto" w:fill="FFFFFF"/>
            <w:tcMar>
              <w:top w:w="0" w:type="dxa"/>
              <w:left w:w="0" w:type="dxa"/>
              <w:bottom w:w="0" w:type="dxa"/>
              <w:right w:w="0" w:type="dxa"/>
            </w:tcMar>
            <w:vAlign w:val="center"/>
          </w:tcPr>
          <w:p w14:paraId="74E71BE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4.2</w:t>
            </w:r>
          </w:p>
        </w:tc>
        <w:tc>
          <w:tcPr>
            <w:tcW w:w="357" w:type="pct"/>
            <w:shd w:val="clear" w:color="auto" w:fill="FFFFFF"/>
            <w:tcMar>
              <w:top w:w="0" w:type="dxa"/>
              <w:left w:w="0" w:type="dxa"/>
              <w:bottom w:w="0" w:type="dxa"/>
              <w:right w:w="0" w:type="dxa"/>
            </w:tcMar>
            <w:vAlign w:val="center"/>
          </w:tcPr>
          <w:p w14:paraId="6125E6B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3.9</w:t>
            </w:r>
          </w:p>
        </w:tc>
        <w:tc>
          <w:tcPr>
            <w:tcW w:w="357" w:type="pct"/>
            <w:shd w:val="clear" w:color="auto" w:fill="FFFFFF"/>
            <w:tcMar>
              <w:top w:w="0" w:type="dxa"/>
              <w:left w:w="0" w:type="dxa"/>
              <w:bottom w:w="0" w:type="dxa"/>
              <w:right w:w="0" w:type="dxa"/>
            </w:tcMar>
            <w:vAlign w:val="center"/>
          </w:tcPr>
          <w:p w14:paraId="0610380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3.3</w:t>
            </w:r>
          </w:p>
        </w:tc>
        <w:tc>
          <w:tcPr>
            <w:tcW w:w="357" w:type="pct"/>
            <w:shd w:val="clear" w:color="auto" w:fill="FFFFFF"/>
            <w:tcMar>
              <w:top w:w="0" w:type="dxa"/>
              <w:left w:w="0" w:type="dxa"/>
              <w:bottom w:w="0" w:type="dxa"/>
              <w:right w:w="0" w:type="dxa"/>
            </w:tcMar>
            <w:vAlign w:val="center"/>
          </w:tcPr>
          <w:p w14:paraId="3741ED3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2.9</w:t>
            </w:r>
          </w:p>
        </w:tc>
        <w:tc>
          <w:tcPr>
            <w:tcW w:w="357" w:type="pct"/>
            <w:shd w:val="clear" w:color="auto" w:fill="FFFFFF"/>
            <w:tcMar>
              <w:top w:w="0" w:type="dxa"/>
              <w:left w:w="0" w:type="dxa"/>
              <w:bottom w:w="0" w:type="dxa"/>
              <w:right w:w="0" w:type="dxa"/>
            </w:tcMar>
            <w:vAlign w:val="center"/>
          </w:tcPr>
          <w:p w14:paraId="7736F35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2.3</w:t>
            </w:r>
          </w:p>
        </w:tc>
        <w:tc>
          <w:tcPr>
            <w:tcW w:w="357" w:type="pct"/>
            <w:shd w:val="clear" w:color="auto" w:fill="FFFFFF"/>
            <w:tcMar>
              <w:top w:w="0" w:type="dxa"/>
              <w:left w:w="0" w:type="dxa"/>
              <w:bottom w:w="0" w:type="dxa"/>
              <w:right w:w="0" w:type="dxa"/>
            </w:tcMar>
            <w:vAlign w:val="center"/>
          </w:tcPr>
          <w:p w14:paraId="1221EA3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1.6</w:t>
            </w:r>
          </w:p>
        </w:tc>
        <w:tc>
          <w:tcPr>
            <w:tcW w:w="357" w:type="pct"/>
            <w:shd w:val="clear" w:color="auto" w:fill="FFFFFF"/>
            <w:tcMar>
              <w:top w:w="0" w:type="dxa"/>
              <w:left w:w="0" w:type="dxa"/>
              <w:bottom w:w="0" w:type="dxa"/>
              <w:right w:w="0" w:type="dxa"/>
            </w:tcMar>
            <w:vAlign w:val="center"/>
          </w:tcPr>
          <w:p w14:paraId="3A23B81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1.0</w:t>
            </w:r>
          </w:p>
        </w:tc>
        <w:tc>
          <w:tcPr>
            <w:tcW w:w="357" w:type="pct"/>
            <w:shd w:val="clear" w:color="auto" w:fill="FFFFFF"/>
            <w:tcMar>
              <w:top w:w="0" w:type="dxa"/>
              <w:left w:w="0" w:type="dxa"/>
              <w:bottom w:w="0" w:type="dxa"/>
              <w:right w:w="0" w:type="dxa"/>
            </w:tcMar>
            <w:vAlign w:val="center"/>
          </w:tcPr>
          <w:p w14:paraId="07594DD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0.3</w:t>
            </w:r>
          </w:p>
        </w:tc>
        <w:tc>
          <w:tcPr>
            <w:tcW w:w="357" w:type="pct"/>
            <w:shd w:val="clear" w:color="auto" w:fill="FFFFFF"/>
            <w:tcMar>
              <w:top w:w="0" w:type="dxa"/>
              <w:left w:w="0" w:type="dxa"/>
              <w:bottom w:w="0" w:type="dxa"/>
              <w:right w:w="0" w:type="dxa"/>
            </w:tcMar>
            <w:vAlign w:val="center"/>
          </w:tcPr>
          <w:p w14:paraId="080B75D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[z]</w:t>
            </w:r>
          </w:p>
        </w:tc>
      </w:tr>
      <w:tr w:rsidR="004C3088" w:rsidRPr="00F92D87" w14:paraId="45C11B7C" w14:textId="77777777" w:rsidTr="00F92D87">
        <w:trPr>
          <w:cantSplit/>
          <w:trHeight w:val="1361"/>
          <w:jc w:val="center"/>
        </w:trPr>
        <w:tc>
          <w:tcPr>
            <w:tcW w:w="1786" w:type="pct"/>
            <w:shd w:val="clear" w:color="auto" w:fill="FFFFFF"/>
            <w:tcMar>
              <w:top w:w="0" w:type="dxa"/>
              <w:left w:w="0" w:type="dxa"/>
              <w:bottom w:w="0" w:type="dxa"/>
              <w:right w:w="0" w:type="dxa"/>
            </w:tcMar>
            <w:vAlign w:val="center"/>
          </w:tcPr>
          <w:p w14:paraId="3890AC76"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t>Median actual duration for revoked DPPs (years)</w:t>
            </w:r>
          </w:p>
        </w:tc>
        <w:tc>
          <w:tcPr>
            <w:tcW w:w="357" w:type="pct"/>
            <w:shd w:val="clear" w:color="auto" w:fill="FFFFFF"/>
            <w:tcMar>
              <w:top w:w="0" w:type="dxa"/>
              <w:left w:w="0" w:type="dxa"/>
              <w:bottom w:w="0" w:type="dxa"/>
              <w:right w:w="0" w:type="dxa"/>
            </w:tcMar>
            <w:vAlign w:val="center"/>
          </w:tcPr>
          <w:p w14:paraId="21350ED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1.9</w:t>
            </w:r>
          </w:p>
        </w:tc>
        <w:tc>
          <w:tcPr>
            <w:tcW w:w="357" w:type="pct"/>
            <w:shd w:val="clear" w:color="auto" w:fill="FFFFFF"/>
            <w:tcMar>
              <w:top w:w="0" w:type="dxa"/>
              <w:left w:w="0" w:type="dxa"/>
              <w:bottom w:w="0" w:type="dxa"/>
              <w:right w:w="0" w:type="dxa"/>
            </w:tcMar>
            <w:vAlign w:val="center"/>
          </w:tcPr>
          <w:p w14:paraId="0B8673F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1.9</w:t>
            </w:r>
          </w:p>
        </w:tc>
        <w:tc>
          <w:tcPr>
            <w:tcW w:w="357" w:type="pct"/>
            <w:shd w:val="clear" w:color="auto" w:fill="FFFFFF"/>
            <w:tcMar>
              <w:top w:w="0" w:type="dxa"/>
              <w:left w:w="0" w:type="dxa"/>
              <w:bottom w:w="0" w:type="dxa"/>
              <w:right w:w="0" w:type="dxa"/>
            </w:tcMar>
            <w:vAlign w:val="center"/>
          </w:tcPr>
          <w:p w14:paraId="401BB73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1.6</w:t>
            </w:r>
          </w:p>
        </w:tc>
        <w:tc>
          <w:tcPr>
            <w:tcW w:w="357" w:type="pct"/>
            <w:shd w:val="clear" w:color="auto" w:fill="FFFFFF"/>
            <w:tcMar>
              <w:top w:w="0" w:type="dxa"/>
              <w:left w:w="0" w:type="dxa"/>
              <w:bottom w:w="0" w:type="dxa"/>
              <w:right w:w="0" w:type="dxa"/>
            </w:tcMar>
            <w:vAlign w:val="center"/>
          </w:tcPr>
          <w:p w14:paraId="0251068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1.8</w:t>
            </w:r>
          </w:p>
        </w:tc>
        <w:tc>
          <w:tcPr>
            <w:tcW w:w="357" w:type="pct"/>
            <w:shd w:val="clear" w:color="auto" w:fill="FFFFFF"/>
            <w:tcMar>
              <w:top w:w="0" w:type="dxa"/>
              <w:left w:w="0" w:type="dxa"/>
              <w:bottom w:w="0" w:type="dxa"/>
              <w:right w:w="0" w:type="dxa"/>
            </w:tcMar>
            <w:vAlign w:val="center"/>
          </w:tcPr>
          <w:p w14:paraId="79738C4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1.7</w:t>
            </w:r>
          </w:p>
        </w:tc>
        <w:tc>
          <w:tcPr>
            <w:tcW w:w="357" w:type="pct"/>
            <w:shd w:val="clear" w:color="auto" w:fill="FFFFFF"/>
            <w:tcMar>
              <w:top w:w="0" w:type="dxa"/>
              <w:left w:w="0" w:type="dxa"/>
              <w:bottom w:w="0" w:type="dxa"/>
              <w:right w:w="0" w:type="dxa"/>
            </w:tcMar>
            <w:vAlign w:val="center"/>
          </w:tcPr>
          <w:p w14:paraId="60D984F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1.2</w:t>
            </w:r>
          </w:p>
        </w:tc>
        <w:tc>
          <w:tcPr>
            <w:tcW w:w="357" w:type="pct"/>
            <w:shd w:val="clear" w:color="auto" w:fill="FFFFFF"/>
            <w:tcMar>
              <w:top w:w="0" w:type="dxa"/>
              <w:left w:w="0" w:type="dxa"/>
              <w:bottom w:w="0" w:type="dxa"/>
              <w:right w:w="0" w:type="dxa"/>
            </w:tcMar>
            <w:vAlign w:val="center"/>
          </w:tcPr>
          <w:p w14:paraId="13CDF9C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0.7</w:t>
            </w:r>
          </w:p>
        </w:tc>
        <w:tc>
          <w:tcPr>
            <w:tcW w:w="357" w:type="pct"/>
            <w:shd w:val="clear" w:color="auto" w:fill="FFFFFF"/>
            <w:tcMar>
              <w:top w:w="0" w:type="dxa"/>
              <w:left w:w="0" w:type="dxa"/>
              <w:bottom w:w="0" w:type="dxa"/>
              <w:right w:w="0" w:type="dxa"/>
            </w:tcMar>
            <w:vAlign w:val="center"/>
          </w:tcPr>
          <w:p w14:paraId="5FF4142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0.4</w:t>
            </w:r>
          </w:p>
        </w:tc>
        <w:tc>
          <w:tcPr>
            <w:tcW w:w="357" w:type="pct"/>
            <w:shd w:val="clear" w:color="auto" w:fill="FFFFFF"/>
            <w:tcMar>
              <w:top w:w="0" w:type="dxa"/>
              <w:left w:w="0" w:type="dxa"/>
              <w:bottom w:w="0" w:type="dxa"/>
              <w:right w:w="0" w:type="dxa"/>
            </w:tcMar>
            <w:vAlign w:val="center"/>
          </w:tcPr>
          <w:p w14:paraId="31B69D6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[z]</w:t>
            </w:r>
          </w:p>
        </w:tc>
      </w:tr>
      <w:tr w:rsidR="004C3088" w:rsidRPr="00F92D87" w14:paraId="2CE4DA2C" w14:textId="77777777" w:rsidTr="00F92D87">
        <w:trPr>
          <w:cantSplit/>
          <w:trHeight w:val="870"/>
          <w:jc w:val="center"/>
        </w:trPr>
        <w:tc>
          <w:tcPr>
            <w:tcW w:w="1786" w:type="pct"/>
            <w:shd w:val="clear" w:color="auto" w:fill="FFFFFF"/>
            <w:tcMar>
              <w:top w:w="0" w:type="dxa"/>
              <w:left w:w="0" w:type="dxa"/>
              <w:bottom w:w="0" w:type="dxa"/>
              <w:right w:w="0" w:type="dxa"/>
            </w:tcMar>
            <w:vAlign w:val="center"/>
          </w:tcPr>
          <w:p w14:paraId="1C483E30"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b/>
                <w:color w:val="111111"/>
                <w:sz w:val="22"/>
                <w:szCs w:val="22"/>
              </w:rPr>
              <w:lastRenderedPageBreak/>
              <w:t>Number of approved DPPs</w:t>
            </w:r>
          </w:p>
        </w:tc>
        <w:tc>
          <w:tcPr>
            <w:tcW w:w="357" w:type="pct"/>
            <w:shd w:val="clear" w:color="auto" w:fill="FFFFFF"/>
            <w:tcMar>
              <w:top w:w="0" w:type="dxa"/>
              <w:left w:w="0" w:type="dxa"/>
              <w:bottom w:w="0" w:type="dxa"/>
              <w:right w:w="0" w:type="dxa"/>
            </w:tcMar>
            <w:vAlign w:val="center"/>
          </w:tcPr>
          <w:p w14:paraId="1A867E9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2,043</w:t>
            </w:r>
          </w:p>
        </w:tc>
        <w:tc>
          <w:tcPr>
            <w:tcW w:w="357" w:type="pct"/>
            <w:shd w:val="clear" w:color="auto" w:fill="FFFFFF"/>
            <w:tcMar>
              <w:top w:w="0" w:type="dxa"/>
              <w:left w:w="0" w:type="dxa"/>
              <w:bottom w:w="0" w:type="dxa"/>
              <w:right w:w="0" w:type="dxa"/>
            </w:tcMar>
            <w:vAlign w:val="center"/>
          </w:tcPr>
          <w:p w14:paraId="34B462A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2,233</w:t>
            </w:r>
          </w:p>
        </w:tc>
        <w:tc>
          <w:tcPr>
            <w:tcW w:w="357" w:type="pct"/>
            <w:shd w:val="clear" w:color="auto" w:fill="FFFFFF"/>
            <w:tcMar>
              <w:top w:w="0" w:type="dxa"/>
              <w:left w:w="0" w:type="dxa"/>
              <w:bottom w:w="0" w:type="dxa"/>
              <w:right w:w="0" w:type="dxa"/>
            </w:tcMar>
            <w:vAlign w:val="center"/>
          </w:tcPr>
          <w:p w14:paraId="073A09D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2,318</w:t>
            </w:r>
          </w:p>
        </w:tc>
        <w:tc>
          <w:tcPr>
            <w:tcW w:w="357" w:type="pct"/>
            <w:shd w:val="clear" w:color="auto" w:fill="FFFFFF"/>
            <w:tcMar>
              <w:top w:w="0" w:type="dxa"/>
              <w:left w:w="0" w:type="dxa"/>
              <w:bottom w:w="0" w:type="dxa"/>
              <w:right w:w="0" w:type="dxa"/>
            </w:tcMar>
            <w:vAlign w:val="center"/>
          </w:tcPr>
          <w:p w14:paraId="5898877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2,544</w:t>
            </w:r>
          </w:p>
        </w:tc>
        <w:tc>
          <w:tcPr>
            <w:tcW w:w="357" w:type="pct"/>
            <w:shd w:val="clear" w:color="auto" w:fill="FFFFFF"/>
            <w:tcMar>
              <w:top w:w="0" w:type="dxa"/>
              <w:left w:w="0" w:type="dxa"/>
              <w:bottom w:w="0" w:type="dxa"/>
              <w:right w:w="0" w:type="dxa"/>
            </w:tcMar>
            <w:vAlign w:val="center"/>
          </w:tcPr>
          <w:p w14:paraId="6E92FFC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3,130</w:t>
            </w:r>
          </w:p>
        </w:tc>
        <w:tc>
          <w:tcPr>
            <w:tcW w:w="357" w:type="pct"/>
            <w:shd w:val="clear" w:color="auto" w:fill="FFFFFF"/>
            <w:tcMar>
              <w:top w:w="0" w:type="dxa"/>
              <w:left w:w="0" w:type="dxa"/>
              <w:bottom w:w="0" w:type="dxa"/>
              <w:right w:w="0" w:type="dxa"/>
            </w:tcMar>
            <w:vAlign w:val="center"/>
          </w:tcPr>
          <w:p w14:paraId="186B840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3,677</w:t>
            </w:r>
          </w:p>
        </w:tc>
        <w:tc>
          <w:tcPr>
            <w:tcW w:w="357" w:type="pct"/>
            <w:shd w:val="clear" w:color="auto" w:fill="FFFFFF"/>
            <w:tcMar>
              <w:top w:w="0" w:type="dxa"/>
              <w:left w:w="0" w:type="dxa"/>
              <w:bottom w:w="0" w:type="dxa"/>
              <w:right w:w="0" w:type="dxa"/>
            </w:tcMar>
            <w:vAlign w:val="center"/>
          </w:tcPr>
          <w:p w14:paraId="6FB501C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4,489</w:t>
            </w:r>
          </w:p>
        </w:tc>
        <w:tc>
          <w:tcPr>
            <w:tcW w:w="357" w:type="pct"/>
            <w:shd w:val="clear" w:color="auto" w:fill="FFFFFF"/>
            <w:tcMar>
              <w:top w:w="0" w:type="dxa"/>
              <w:left w:w="0" w:type="dxa"/>
              <w:bottom w:w="0" w:type="dxa"/>
              <w:right w:w="0" w:type="dxa"/>
            </w:tcMar>
            <w:vAlign w:val="center"/>
          </w:tcPr>
          <w:p w14:paraId="0E12AF4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4,947</w:t>
            </w:r>
          </w:p>
        </w:tc>
        <w:tc>
          <w:tcPr>
            <w:tcW w:w="357" w:type="pct"/>
            <w:shd w:val="clear" w:color="auto" w:fill="FFFFFF"/>
            <w:tcMar>
              <w:top w:w="0" w:type="dxa"/>
              <w:left w:w="0" w:type="dxa"/>
              <w:bottom w:w="0" w:type="dxa"/>
              <w:right w:w="0" w:type="dxa"/>
            </w:tcMar>
            <w:vAlign w:val="center"/>
          </w:tcPr>
          <w:p w14:paraId="7DD9F04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b/>
                <w:color w:val="111111"/>
                <w:sz w:val="22"/>
                <w:szCs w:val="22"/>
              </w:rPr>
              <w:t>10.2%</w:t>
            </w:r>
          </w:p>
        </w:tc>
      </w:tr>
      <w:tr w:rsidR="004C3088" w:rsidRPr="00F92D87" w14:paraId="08609A40" w14:textId="77777777" w:rsidTr="00F92D87">
        <w:trPr>
          <w:cantSplit/>
          <w:trHeight w:val="1092"/>
          <w:jc w:val="center"/>
        </w:trPr>
        <w:tc>
          <w:tcPr>
            <w:tcW w:w="1786" w:type="pct"/>
            <w:shd w:val="clear" w:color="auto" w:fill="FFFFFF"/>
            <w:tcMar>
              <w:top w:w="0" w:type="dxa"/>
              <w:left w:w="0" w:type="dxa"/>
              <w:bottom w:w="0" w:type="dxa"/>
              <w:right w:w="0" w:type="dxa"/>
            </w:tcMar>
            <w:vAlign w:val="center"/>
          </w:tcPr>
          <w:p w14:paraId="62928AF2"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Balancing item to match the published statistics</w:t>
            </w:r>
          </w:p>
        </w:tc>
        <w:tc>
          <w:tcPr>
            <w:tcW w:w="357" w:type="pct"/>
            <w:shd w:val="clear" w:color="auto" w:fill="FFFFFF"/>
            <w:tcMar>
              <w:top w:w="0" w:type="dxa"/>
              <w:left w:w="0" w:type="dxa"/>
              <w:bottom w:w="0" w:type="dxa"/>
              <w:right w:w="0" w:type="dxa"/>
            </w:tcMar>
            <w:vAlign w:val="center"/>
          </w:tcPr>
          <w:p w14:paraId="2AE9524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w:t>
            </w:r>
          </w:p>
        </w:tc>
        <w:tc>
          <w:tcPr>
            <w:tcW w:w="357" w:type="pct"/>
            <w:shd w:val="clear" w:color="auto" w:fill="FFFFFF"/>
            <w:tcMar>
              <w:top w:w="0" w:type="dxa"/>
              <w:left w:w="0" w:type="dxa"/>
              <w:bottom w:w="0" w:type="dxa"/>
              <w:right w:w="0" w:type="dxa"/>
            </w:tcMar>
            <w:vAlign w:val="center"/>
          </w:tcPr>
          <w:p w14:paraId="5405A0D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w:t>
            </w:r>
          </w:p>
        </w:tc>
        <w:tc>
          <w:tcPr>
            <w:tcW w:w="357" w:type="pct"/>
            <w:shd w:val="clear" w:color="auto" w:fill="FFFFFF"/>
            <w:tcMar>
              <w:top w:w="0" w:type="dxa"/>
              <w:left w:w="0" w:type="dxa"/>
              <w:bottom w:w="0" w:type="dxa"/>
              <w:right w:w="0" w:type="dxa"/>
            </w:tcMar>
            <w:vAlign w:val="center"/>
          </w:tcPr>
          <w:p w14:paraId="76F8436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w:t>
            </w:r>
          </w:p>
        </w:tc>
        <w:tc>
          <w:tcPr>
            <w:tcW w:w="357" w:type="pct"/>
            <w:shd w:val="clear" w:color="auto" w:fill="FFFFFF"/>
            <w:tcMar>
              <w:top w:w="0" w:type="dxa"/>
              <w:left w:w="0" w:type="dxa"/>
              <w:bottom w:w="0" w:type="dxa"/>
              <w:right w:w="0" w:type="dxa"/>
            </w:tcMar>
            <w:vAlign w:val="center"/>
          </w:tcPr>
          <w:p w14:paraId="2D3EA47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w:t>
            </w:r>
          </w:p>
        </w:tc>
        <w:tc>
          <w:tcPr>
            <w:tcW w:w="357" w:type="pct"/>
            <w:shd w:val="clear" w:color="auto" w:fill="FFFFFF"/>
            <w:tcMar>
              <w:top w:w="0" w:type="dxa"/>
              <w:left w:w="0" w:type="dxa"/>
              <w:bottom w:w="0" w:type="dxa"/>
              <w:right w:w="0" w:type="dxa"/>
            </w:tcMar>
            <w:vAlign w:val="center"/>
          </w:tcPr>
          <w:p w14:paraId="5737CE7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357" w:type="pct"/>
            <w:shd w:val="clear" w:color="auto" w:fill="FFFFFF"/>
            <w:tcMar>
              <w:top w:w="0" w:type="dxa"/>
              <w:left w:w="0" w:type="dxa"/>
              <w:bottom w:w="0" w:type="dxa"/>
              <w:right w:w="0" w:type="dxa"/>
            </w:tcMar>
            <w:vAlign w:val="center"/>
          </w:tcPr>
          <w:p w14:paraId="12F9247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357" w:type="pct"/>
            <w:shd w:val="clear" w:color="auto" w:fill="FFFFFF"/>
            <w:tcMar>
              <w:top w:w="0" w:type="dxa"/>
              <w:left w:w="0" w:type="dxa"/>
              <w:bottom w:w="0" w:type="dxa"/>
              <w:right w:w="0" w:type="dxa"/>
            </w:tcMar>
            <w:vAlign w:val="center"/>
          </w:tcPr>
          <w:p w14:paraId="7AF7E22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357" w:type="pct"/>
            <w:shd w:val="clear" w:color="auto" w:fill="FFFFFF"/>
            <w:tcMar>
              <w:top w:w="0" w:type="dxa"/>
              <w:left w:w="0" w:type="dxa"/>
              <w:bottom w:w="0" w:type="dxa"/>
              <w:right w:w="0" w:type="dxa"/>
            </w:tcMar>
            <w:vAlign w:val="center"/>
          </w:tcPr>
          <w:p w14:paraId="12AB1F7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0</w:t>
            </w:r>
          </w:p>
        </w:tc>
        <w:tc>
          <w:tcPr>
            <w:tcW w:w="357" w:type="pct"/>
            <w:shd w:val="clear" w:color="auto" w:fill="FFFFFF"/>
            <w:tcMar>
              <w:top w:w="0" w:type="dxa"/>
              <w:left w:w="0" w:type="dxa"/>
              <w:bottom w:w="0" w:type="dxa"/>
              <w:right w:w="0" w:type="dxa"/>
            </w:tcMar>
            <w:vAlign w:val="center"/>
          </w:tcPr>
          <w:p w14:paraId="49E2443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79BA7D7E" w14:textId="77777777" w:rsidTr="00F92D87">
        <w:trPr>
          <w:cantSplit/>
          <w:trHeight w:val="895"/>
          <w:jc w:val="center"/>
        </w:trPr>
        <w:tc>
          <w:tcPr>
            <w:tcW w:w="1786" w:type="pct"/>
            <w:shd w:val="clear" w:color="auto" w:fill="FFFFFF"/>
            <w:tcMar>
              <w:top w:w="0" w:type="dxa"/>
              <w:left w:w="0" w:type="dxa"/>
              <w:bottom w:w="0" w:type="dxa"/>
              <w:right w:w="0" w:type="dxa"/>
            </w:tcMar>
            <w:vAlign w:val="center"/>
          </w:tcPr>
          <w:p w14:paraId="7D0A44AA"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outcome: Live as at 31 March 2023</w:t>
            </w:r>
          </w:p>
        </w:tc>
        <w:tc>
          <w:tcPr>
            <w:tcW w:w="357" w:type="pct"/>
            <w:shd w:val="clear" w:color="auto" w:fill="FFFFFF"/>
            <w:tcMar>
              <w:top w:w="0" w:type="dxa"/>
              <w:left w:w="0" w:type="dxa"/>
              <w:bottom w:w="0" w:type="dxa"/>
              <w:right w:w="0" w:type="dxa"/>
            </w:tcMar>
            <w:vAlign w:val="center"/>
          </w:tcPr>
          <w:p w14:paraId="0DF92F8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362</w:t>
            </w:r>
          </w:p>
        </w:tc>
        <w:tc>
          <w:tcPr>
            <w:tcW w:w="357" w:type="pct"/>
            <w:shd w:val="clear" w:color="auto" w:fill="FFFFFF"/>
            <w:tcMar>
              <w:top w:w="0" w:type="dxa"/>
              <w:left w:w="0" w:type="dxa"/>
              <w:bottom w:w="0" w:type="dxa"/>
              <w:right w:w="0" w:type="dxa"/>
            </w:tcMar>
            <w:vAlign w:val="center"/>
          </w:tcPr>
          <w:p w14:paraId="2BA1655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614</w:t>
            </w:r>
          </w:p>
        </w:tc>
        <w:tc>
          <w:tcPr>
            <w:tcW w:w="357" w:type="pct"/>
            <w:shd w:val="clear" w:color="auto" w:fill="FFFFFF"/>
            <w:tcMar>
              <w:top w:w="0" w:type="dxa"/>
              <w:left w:w="0" w:type="dxa"/>
              <w:bottom w:w="0" w:type="dxa"/>
              <w:right w:w="0" w:type="dxa"/>
            </w:tcMar>
            <w:vAlign w:val="center"/>
          </w:tcPr>
          <w:p w14:paraId="69B8F0B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844</w:t>
            </w:r>
          </w:p>
        </w:tc>
        <w:tc>
          <w:tcPr>
            <w:tcW w:w="357" w:type="pct"/>
            <w:shd w:val="clear" w:color="auto" w:fill="FFFFFF"/>
            <w:tcMar>
              <w:top w:w="0" w:type="dxa"/>
              <w:left w:w="0" w:type="dxa"/>
              <w:bottom w:w="0" w:type="dxa"/>
              <w:right w:w="0" w:type="dxa"/>
            </w:tcMar>
            <w:vAlign w:val="center"/>
          </w:tcPr>
          <w:p w14:paraId="76F7E5A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1,210</w:t>
            </w:r>
          </w:p>
        </w:tc>
        <w:tc>
          <w:tcPr>
            <w:tcW w:w="357" w:type="pct"/>
            <w:shd w:val="clear" w:color="auto" w:fill="FFFFFF"/>
            <w:tcMar>
              <w:top w:w="0" w:type="dxa"/>
              <w:left w:w="0" w:type="dxa"/>
              <w:bottom w:w="0" w:type="dxa"/>
              <w:right w:w="0" w:type="dxa"/>
            </w:tcMar>
            <w:vAlign w:val="center"/>
          </w:tcPr>
          <w:p w14:paraId="1F32794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1,866</w:t>
            </w:r>
          </w:p>
        </w:tc>
        <w:tc>
          <w:tcPr>
            <w:tcW w:w="357" w:type="pct"/>
            <w:shd w:val="clear" w:color="auto" w:fill="FFFFFF"/>
            <w:tcMar>
              <w:top w:w="0" w:type="dxa"/>
              <w:left w:w="0" w:type="dxa"/>
              <w:bottom w:w="0" w:type="dxa"/>
              <w:right w:w="0" w:type="dxa"/>
            </w:tcMar>
            <w:vAlign w:val="center"/>
          </w:tcPr>
          <w:p w14:paraId="6E63A6C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2,517</w:t>
            </w:r>
          </w:p>
        </w:tc>
        <w:tc>
          <w:tcPr>
            <w:tcW w:w="357" w:type="pct"/>
            <w:shd w:val="clear" w:color="auto" w:fill="FFFFFF"/>
            <w:tcMar>
              <w:top w:w="0" w:type="dxa"/>
              <w:left w:w="0" w:type="dxa"/>
              <w:bottom w:w="0" w:type="dxa"/>
              <w:right w:w="0" w:type="dxa"/>
            </w:tcMar>
            <w:vAlign w:val="center"/>
          </w:tcPr>
          <w:p w14:paraId="0002288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3,453</w:t>
            </w:r>
          </w:p>
        </w:tc>
        <w:tc>
          <w:tcPr>
            <w:tcW w:w="357" w:type="pct"/>
            <w:shd w:val="clear" w:color="auto" w:fill="FFFFFF"/>
            <w:tcMar>
              <w:top w:w="0" w:type="dxa"/>
              <w:left w:w="0" w:type="dxa"/>
              <w:bottom w:w="0" w:type="dxa"/>
              <w:right w:w="0" w:type="dxa"/>
            </w:tcMar>
            <w:vAlign w:val="center"/>
          </w:tcPr>
          <w:p w14:paraId="6DD90C1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4,705</w:t>
            </w:r>
          </w:p>
        </w:tc>
        <w:tc>
          <w:tcPr>
            <w:tcW w:w="357" w:type="pct"/>
            <w:shd w:val="clear" w:color="auto" w:fill="FFFFFF"/>
            <w:tcMar>
              <w:top w:w="0" w:type="dxa"/>
              <w:left w:w="0" w:type="dxa"/>
              <w:bottom w:w="0" w:type="dxa"/>
              <w:right w:w="0" w:type="dxa"/>
            </w:tcMar>
            <w:vAlign w:val="center"/>
          </w:tcPr>
          <w:p w14:paraId="3AB2D5A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7515B361" w14:textId="77777777" w:rsidTr="00F92D87">
        <w:trPr>
          <w:cantSplit/>
          <w:trHeight w:val="627"/>
          <w:jc w:val="center"/>
        </w:trPr>
        <w:tc>
          <w:tcPr>
            <w:tcW w:w="1786" w:type="pct"/>
            <w:shd w:val="clear" w:color="auto" w:fill="FFFFFF"/>
            <w:tcMar>
              <w:top w:w="0" w:type="dxa"/>
              <w:left w:w="0" w:type="dxa"/>
              <w:bottom w:w="0" w:type="dxa"/>
              <w:right w:w="0" w:type="dxa"/>
            </w:tcMar>
            <w:vAlign w:val="center"/>
          </w:tcPr>
          <w:p w14:paraId="026D3C38"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outcome: Completed as at 31 March 2023</w:t>
            </w:r>
          </w:p>
        </w:tc>
        <w:tc>
          <w:tcPr>
            <w:tcW w:w="357" w:type="pct"/>
            <w:shd w:val="clear" w:color="auto" w:fill="FFFFFF"/>
            <w:tcMar>
              <w:top w:w="0" w:type="dxa"/>
              <w:left w:w="0" w:type="dxa"/>
              <w:bottom w:w="0" w:type="dxa"/>
              <w:right w:w="0" w:type="dxa"/>
            </w:tcMar>
            <w:vAlign w:val="center"/>
          </w:tcPr>
          <w:p w14:paraId="33ABE41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807</w:t>
            </w:r>
          </w:p>
        </w:tc>
        <w:tc>
          <w:tcPr>
            <w:tcW w:w="357" w:type="pct"/>
            <w:shd w:val="clear" w:color="auto" w:fill="FFFFFF"/>
            <w:tcMar>
              <w:top w:w="0" w:type="dxa"/>
              <w:left w:w="0" w:type="dxa"/>
              <w:bottom w:w="0" w:type="dxa"/>
              <w:right w:w="0" w:type="dxa"/>
            </w:tcMar>
            <w:vAlign w:val="center"/>
          </w:tcPr>
          <w:p w14:paraId="645B407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794</w:t>
            </w:r>
          </w:p>
        </w:tc>
        <w:tc>
          <w:tcPr>
            <w:tcW w:w="357" w:type="pct"/>
            <w:shd w:val="clear" w:color="auto" w:fill="FFFFFF"/>
            <w:tcMar>
              <w:top w:w="0" w:type="dxa"/>
              <w:left w:w="0" w:type="dxa"/>
              <w:bottom w:w="0" w:type="dxa"/>
              <w:right w:w="0" w:type="dxa"/>
            </w:tcMar>
            <w:vAlign w:val="center"/>
          </w:tcPr>
          <w:p w14:paraId="1BC4355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668</w:t>
            </w:r>
          </w:p>
        </w:tc>
        <w:tc>
          <w:tcPr>
            <w:tcW w:w="357" w:type="pct"/>
            <w:shd w:val="clear" w:color="auto" w:fill="FFFFFF"/>
            <w:tcMar>
              <w:top w:w="0" w:type="dxa"/>
              <w:left w:w="0" w:type="dxa"/>
              <w:bottom w:w="0" w:type="dxa"/>
              <w:right w:w="0" w:type="dxa"/>
            </w:tcMar>
            <w:vAlign w:val="center"/>
          </w:tcPr>
          <w:p w14:paraId="513E77C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535</w:t>
            </w:r>
          </w:p>
        </w:tc>
        <w:tc>
          <w:tcPr>
            <w:tcW w:w="357" w:type="pct"/>
            <w:shd w:val="clear" w:color="auto" w:fill="FFFFFF"/>
            <w:tcMar>
              <w:top w:w="0" w:type="dxa"/>
              <w:left w:w="0" w:type="dxa"/>
              <w:bottom w:w="0" w:type="dxa"/>
              <w:right w:w="0" w:type="dxa"/>
            </w:tcMar>
            <w:vAlign w:val="center"/>
          </w:tcPr>
          <w:p w14:paraId="6487250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460</w:t>
            </w:r>
          </w:p>
        </w:tc>
        <w:tc>
          <w:tcPr>
            <w:tcW w:w="357" w:type="pct"/>
            <w:shd w:val="clear" w:color="auto" w:fill="FFFFFF"/>
            <w:tcMar>
              <w:top w:w="0" w:type="dxa"/>
              <w:left w:w="0" w:type="dxa"/>
              <w:bottom w:w="0" w:type="dxa"/>
              <w:right w:w="0" w:type="dxa"/>
            </w:tcMar>
            <w:vAlign w:val="center"/>
          </w:tcPr>
          <w:p w14:paraId="2FA5504C"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294</w:t>
            </w:r>
          </w:p>
        </w:tc>
        <w:tc>
          <w:tcPr>
            <w:tcW w:w="357" w:type="pct"/>
            <w:shd w:val="clear" w:color="auto" w:fill="FFFFFF"/>
            <w:tcMar>
              <w:top w:w="0" w:type="dxa"/>
              <w:left w:w="0" w:type="dxa"/>
              <w:bottom w:w="0" w:type="dxa"/>
              <w:right w:w="0" w:type="dxa"/>
            </w:tcMar>
            <w:vAlign w:val="center"/>
          </w:tcPr>
          <w:p w14:paraId="74062EA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114</w:t>
            </w:r>
          </w:p>
        </w:tc>
        <w:tc>
          <w:tcPr>
            <w:tcW w:w="357" w:type="pct"/>
            <w:shd w:val="clear" w:color="auto" w:fill="FFFFFF"/>
            <w:tcMar>
              <w:top w:w="0" w:type="dxa"/>
              <w:left w:w="0" w:type="dxa"/>
              <w:bottom w:w="0" w:type="dxa"/>
              <w:right w:w="0" w:type="dxa"/>
            </w:tcMar>
            <w:vAlign w:val="center"/>
          </w:tcPr>
          <w:p w14:paraId="2C389B9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18</w:t>
            </w:r>
          </w:p>
        </w:tc>
        <w:tc>
          <w:tcPr>
            <w:tcW w:w="357" w:type="pct"/>
            <w:shd w:val="clear" w:color="auto" w:fill="FFFFFF"/>
            <w:tcMar>
              <w:top w:w="0" w:type="dxa"/>
              <w:left w:w="0" w:type="dxa"/>
              <w:bottom w:w="0" w:type="dxa"/>
              <w:right w:w="0" w:type="dxa"/>
            </w:tcMar>
            <w:vAlign w:val="center"/>
          </w:tcPr>
          <w:p w14:paraId="12B6422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2DD90AFD" w14:textId="77777777" w:rsidTr="00F92D87">
        <w:trPr>
          <w:cantSplit/>
          <w:trHeight w:val="921"/>
          <w:jc w:val="center"/>
        </w:trPr>
        <w:tc>
          <w:tcPr>
            <w:tcW w:w="1786" w:type="pct"/>
            <w:tcBorders>
              <w:bottom w:val="single" w:sz="8" w:space="0" w:color="BEBEBE"/>
            </w:tcBorders>
            <w:shd w:val="clear" w:color="auto" w:fill="FFFFFF"/>
            <w:tcMar>
              <w:top w:w="0" w:type="dxa"/>
              <w:left w:w="0" w:type="dxa"/>
              <w:bottom w:w="0" w:type="dxa"/>
              <w:right w:w="0" w:type="dxa"/>
            </w:tcMar>
            <w:vAlign w:val="center"/>
          </w:tcPr>
          <w:p w14:paraId="5C8F73D1"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outcome: Revoked as at 31 March 2023</w:t>
            </w:r>
          </w:p>
        </w:tc>
        <w:tc>
          <w:tcPr>
            <w:tcW w:w="357" w:type="pct"/>
            <w:tcBorders>
              <w:bottom w:val="single" w:sz="8" w:space="0" w:color="BEBEBE"/>
            </w:tcBorders>
            <w:shd w:val="clear" w:color="auto" w:fill="FFFFFF"/>
            <w:tcMar>
              <w:top w:w="0" w:type="dxa"/>
              <w:left w:w="0" w:type="dxa"/>
              <w:bottom w:w="0" w:type="dxa"/>
              <w:right w:w="0" w:type="dxa"/>
            </w:tcMar>
            <w:vAlign w:val="center"/>
          </w:tcPr>
          <w:p w14:paraId="065B023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873</w:t>
            </w:r>
          </w:p>
        </w:tc>
        <w:tc>
          <w:tcPr>
            <w:tcW w:w="357" w:type="pct"/>
            <w:tcBorders>
              <w:bottom w:val="single" w:sz="8" w:space="0" w:color="BEBEBE"/>
            </w:tcBorders>
            <w:shd w:val="clear" w:color="auto" w:fill="FFFFFF"/>
            <w:tcMar>
              <w:top w:w="0" w:type="dxa"/>
              <w:left w:w="0" w:type="dxa"/>
              <w:bottom w:w="0" w:type="dxa"/>
              <w:right w:w="0" w:type="dxa"/>
            </w:tcMar>
            <w:vAlign w:val="center"/>
          </w:tcPr>
          <w:p w14:paraId="6C70403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823</w:t>
            </w:r>
          </w:p>
        </w:tc>
        <w:tc>
          <w:tcPr>
            <w:tcW w:w="357" w:type="pct"/>
            <w:tcBorders>
              <w:bottom w:val="single" w:sz="8" w:space="0" w:color="BEBEBE"/>
            </w:tcBorders>
            <w:shd w:val="clear" w:color="auto" w:fill="FFFFFF"/>
            <w:tcMar>
              <w:top w:w="0" w:type="dxa"/>
              <w:left w:w="0" w:type="dxa"/>
              <w:bottom w:w="0" w:type="dxa"/>
              <w:right w:w="0" w:type="dxa"/>
            </w:tcMar>
            <w:vAlign w:val="center"/>
          </w:tcPr>
          <w:p w14:paraId="295D123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802</w:t>
            </w:r>
          </w:p>
        </w:tc>
        <w:tc>
          <w:tcPr>
            <w:tcW w:w="357" w:type="pct"/>
            <w:tcBorders>
              <w:bottom w:val="single" w:sz="8" w:space="0" w:color="BEBEBE"/>
            </w:tcBorders>
            <w:shd w:val="clear" w:color="auto" w:fill="FFFFFF"/>
            <w:tcMar>
              <w:top w:w="0" w:type="dxa"/>
              <w:left w:w="0" w:type="dxa"/>
              <w:bottom w:w="0" w:type="dxa"/>
              <w:right w:w="0" w:type="dxa"/>
            </w:tcMar>
            <w:vAlign w:val="center"/>
          </w:tcPr>
          <w:p w14:paraId="7291A34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798</w:t>
            </w:r>
          </w:p>
        </w:tc>
        <w:tc>
          <w:tcPr>
            <w:tcW w:w="357" w:type="pct"/>
            <w:tcBorders>
              <w:bottom w:val="single" w:sz="8" w:space="0" w:color="BEBEBE"/>
            </w:tcBorders>
            <w:shd w:val="clear" w:color="auto" w:fill="FFFFFF"/>
            <w:tcMar>
              <w:top w:w="0" w:type="dxa"/>
              <w:left w:w="0" w:type="dxa"/>
              <w:bottom w:w="0" w:type="dxa"/>
              <w:right w:w="0" w:type="dxa"/>
            </w:tcMar>
            <w:vAlign w:val="center"/>
          </w:tcPr>
          <w:p w14:paraId="58318A9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804</w:t>
            </w:r>
          </w:p>
        </w:tc>
        <w:tc>
          <w:tcPr>
            <w:tcW w:w="357" w:type="pct"/>
            <w:tcBorders>
              <w:bottom w:val="single" w:sz="8" w:space="0" w:color="BEBEBE"/>
            </w:tcBorders>
            <w:shd w:val="clear" w:color="auto" w:fill="FFFFFF"/>
            <w:tcMar>
              <w:top w:w="0" w:type="dxa"/>
              <w:left w:w="0" w:type="dxa"/>
              <w:bottom w:w="0" w:type="dxa"/>
              <w:right w:w="0" w:type="dxa"/>
            </w:tcMar>
            <w:vAlign w:val="center"/>
          </w:tcPr>
          <w:p w14:paraId="7F9EE53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866</w:t>
            </w:r>
          </w:p>
        </w:tc>
        <w:tc>
          <w:tcPr>
            <w:tcW w:w="357" w:type="pct"/>
            <w:tcBorders>
              <w:bottom w:val="single" w:sz="8" w:space="0" w:color="BEBEBE"/>
            </w:tcBorders>
            <w:shd w:val="clear" w:color="auto" w:fill="FFFFFF"/>
            <w:tcMar>
              <w:top w:w="0" w:type="dxa"/>
              <w:left w:w="0" w:type="dxa"/>
              <w:bottom w:w="0" w:type="dxa"/>
              <w:right w:w="0" w:type="dxa"/>
            </w:tcMar>
            <w:vAlign w:val="center"/>
          </w:tcPr>
          <w:p w14:paraId="0DCCAD2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922</w:t>
            </w:r>
          </w:p>
        </w:tc>
        <w:tc>
          <w:tcPr>
            <w:tcW w:w="357" w:type="pct"/>
            <w:tcBorders>
              <w:bottom w:val="single" w:sz="8" w:space="0" w:color="BEBEBE"/>
            </w:tcBorders>
            <w:shd w:val="clear" w:color="auto" w:fill="FFFFFF"/>
            <w:tcMar>
              <w:top w:w="0" w:type="dxa"/>
              <w:left w:w="0" w:type="dxa"/>
              <w:bottom w:w="0" w:type="dxa"/>
              <w:right w:w="0" w:type="dxa"/>
            </w:tcMar>
            <w:vAlign w:val="center"/>
          </w:tcPr>
          <w:p w14:paraId="001B64F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224</w:t>
            </w:r>
          </w:p>
        </w:tc>
        <w:tc>
          <w:tcPr>
            <w:tcW w:w="357" w:type="pct"/>
            <w:tcBorders>
              <w:bottom w:val="single" w:sz="8" w:space="0" w:color="BEBEBE"/>
            </w:tcBorders>
            <w:shd w:val="clear" w:color="auto" w:fill="FFFFFF"/>
            <w:tcMar>
              <w:top w:w="0" w:type="dxa"/>
              <w:left w:w="0" w:type="dxa"/>
              <w:bottom w:w="0" w:type="dxa"/>
              <w:right w:w="0" w:type="dxa"/>
            </w:tcMar>
            <w:vAlign w:val="center"/>
          </w:tcPr>
          <w:p w14:paraId="35FC5F1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7D19D183" w14:textId="77777777" w:rsidTr="00F92D87">
        <w:trPr>
          <w:cantSplit/>
          <w:trHeight w:val="694"/>
          <w:jc w:val="center"/>
        </w:trPr>
        <w:tc>
          <w:tcPr>
            <w:tcW w:w="1786" w:type="pct"/>
            <w:shd w:val="clear" w:color="auto" w:fill="FFFFFF"/>
            <w:tcMar>
              <w:top w:w="0" w:type="dxa"/>
              <w:left w:w="0" w:type="dxa"/>
              <w:bottom w:w="0" w:type="dxa"/>
              <w:right w:w="0" w:type="dxa"/>
            </w:tcMar>
            <w:vAlign w:val="center"/>
          </w:tcPr>
          <w:p w14:paraId="7A876A04"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Survived for one year</w:t>
            </w:r>
          </w:p>
        </w:tc>
        <w:tc>
          <w:tcPr>
            <w:tcW w:w="357" w:type="pct"/>
            <w:shd w:val="clear" w:color="auto" w:fill="FFFFFF"/>
            <w:tcMar>
              <w:top w:w="0" w:type="dxa"/>
              <w:left w:w="0" w:type="dxa"/>
              <w:bottom w:w="0" w:type="dxa"/>
              <w:right w:w="0" w:type="dxa"/>
            </w:tcMar>
            <w:vAlign w:val="center"/>
          </w:tcPr>
          <w:p w14:paraId="37FB210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1,715</w:t>
            </w:r>
          </w:p>
        </w:tc>
        <w:tc>
          <w:tcPr>
            <w:tcW w:w="357" w:type="pct"/>
            <w:shd w:val="clear" w:color="auto" w:fill="FFFFFF"/>
            <w:tcMar>
              <w:top w:w="0" w:type="dxa"/>
              <w:left w:w="0" w:type="dxa"/>
              <w:bottom w:w="0" w:type="dxa"/>
              <w:right w:w="0" w:type="dxa"/>
            </w:tcMar>
            <w:vAlign w:val="center"/>
          </w:tcPr>
          <w:p w14:paraId="382FC47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1,937</w:t>
            </w:r>
          </w:p>
        </w:tc>
        <w:tc>
          <w:tcPr>
            <w:tcW w:w="357" w:type="pct"/>
            <w:shd w:val="clear" w:color="auto" w:fill="FFFFFF"/>
            <w:tcMar>
              <w:top w:w="0" w:type="dxa"/>
              <w:left w:w="0" w:type="dxa"/>
              <w:bottom w:w="0" w:type="dxa"/>
              <w:right w:w="0" w:type="dxa"/>
            </w:tcMar>
            <w:vAlign w:val="center"/>
          </w:tcPr>
          <w:p w14:paraId="1B90F3C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1,936</w:t>
            </w:r>
          </w:p>
        </w:tc>
        <w:tc>
          <w:tcPr>
            <w:tcW w:w="357" w:type="pct"/>
            <w:shd w:val="clear" w:color="auto" w:fill="FFFFFF"/>
            <w:tcMar>
              <w:top w:w="0" w:type="dxa"/>
              <w:left w:w="0" w:type="dxa"/>
              <w:bottom w:w="0" w:type="dxa"/>
              <w:right w:w="0" w:type="dxa"/>
            </w:tcMar>
            <w:vAlign w:val="center"/>
          </w:tcPr>
          <w:p w14:paraId="22E4FE6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2,230</w:t>
            </w:r>
          </w:p>
        </w:tc>
        <w:tc>
          <w:tcPr>
            <w:tcW w:w="357" w:type="pct"/>
            <w:shd w:val="clear" w:color="auto" w:fill="FFFFFF"/>
            <w:tcMar>
              <w:top w:w="0" w:type="dxa"/>
              <w:left w:w="0" w:type="dxa"/>
              <w:bottom w:w="0" w:type="dxa"/>
              <w:right w:w="0" w:type="dxa"/>
            </w:tcMar>
            <w:vAlign w:val="center"/>
          </w:tcPr>
          <w:p w14:paraId="45FF5DA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2,907</w:t>
            </w:r>
          </w:p>
        </w:tc>
        <w:tc>
          <w:tcPr>
            <w:tcW w:w="357" w:type="pct"/>
            <w:shd w:val="clear" w:color="auto" w:fill="FFFFFF"/>
            <w:tcMar>
              <w:top w:w="0" w:type="dxa"/>
              <w:left w:w="0" w:type="dxa"/>
              <w:bottom w:w="0" w:type="dxa"/>
              <w:right w:w="0" w:type="dxa"/>
            </w:tcMar>
            <w:vAlign w:val="center"/>
          </w:tcPr>
          <w:p w14:paraId="70B7982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3,316</w:t>
            </w:r>
          </w:p>
        </w:tc>
        <w:tc>
          <w:tcPr>
            <w:tcW w:w="357" w:type="pct"/>
            <w:shd w:val="clear" w:color="auto" w:fill="FFFFFF"/>
            <w:tcMar>
              <w:top w:w="0" w:type="dxa"/>
              <w:left w:w="0" w:type="dxa"/>
              <w:bottom w:w="0" w:type="dxa"/>
              <w:right w:w="0" w:type="dxa"/>
            </w:tcMar>
            <w:vAlign w:val="center"/>
          </w:tcPr>
          <w:p w14:paraId="4E5589A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3,783</w:t>
            </w:r>
          </w:p>
        </w:tc>
        <w:tc>
          <w:tcPr>
            <w:tcW w:w="357" w:type="pct"/>
            <w:shd w:val="clear" w:color="auto" w:fill="FFFFFF"/>
            <w:tcMar>
              <w:top w:w="0" w:type="dxa"/>
              <w:left w:w="0" w:type="dxa"/>
              <w:bottom w:w="0" w:type="dxa"/>
              <w:right w:w="0" w:type="dxa"/>
            </w:tcMar>
            <w:vAlign w:val="center"/>
          </w:tcPr>
          <w:p w14:paraId="428FACF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1CEAF73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72B87633" w14:textId="77777777" w:rsidTr="00F92D87">
        <w:trPr>
          <w:cantSplit/>
          <w:trHeight w:val="710"/>
          <w:jc w:val="center"/>
        </w:trPr>
        <w:tc>
          <w:tcPr>
            <w:tcW w:w="1786" w:type="pct"/>
            <w:shd w:val="clear" w:color="auto" w:fill="FFFFFF"/>
            <w:tcMar>
              <w:top w:w="0" w:type="dxa"/>
              <w:left w:w="0" w:type="dxa"/>
              <w:bottom w:w="0" w:type="dxa"/>
              <w:right w:w="0" w:type="dxa"/>
            </w:tcMar>
            <w:vAlign w:val="center"/>
          </w:tcPr>
          <w:p w14:paraId="62879010"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Survived for two years</w:t>
            </w:r>
          </w:p>
        </w:tc>
        <w:tc>
          <w:tcPr>
            <w:tcW w:w="357" w:type="pct"/>
            <w:shd w:val="clear" w:color="auto" w:fill="FFFFFF"/>
            <w:tcMar>
              <w:top w:w="0" w:type="dxa"/>
              <w:left w:w="0" w:type="dxa"/>
              <w:bottom w:w="0" w:type="dxa"/>
              <w:right w:w="0" w:type="dxa"/>
            </w:tcMar>
            <w:vAlign w:val="center"/>
          </w:tcPr>
          <w:p w14:paraId="05AEB13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1,482</w:t>
            </w:r>
          </w:p>
        </w:tc>
        <w:tc>
          <w:tcPr>
            <w:tcW w:w="357" w:type="pct"/>
            <w:shd w:val="clear" w:color="auto" w:fill="FFFFFF"/>
            <w:tcMar>
              <w:top w:w="0" w:type="dxa"/>
              <w:left w:w="0" w:type="dxa"/>
              <w:bottom w:w="0" w:type="dxa"/>
              <w:right w:w="0" w:type="dxa"/>
            </w:tcMar>
            <w:vAlign w:val="center"/>
          </w:tcPr>
          <w:p w14:paraId="19D1916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1,696</w:t>
            </w:r>
          </w:p>
        </w:tc>
        <w:tc>
          <w:tcPr>
            <w:tcW w:w="357" w:type="pct"/>
            <w:shd w:val="clear" w:color="auto" w:fill="FFFFFF"/>
            <w:tcMar>
              <w:top w:w="0" w:type="dxa"/>
              <w:left w:w="0" w:type="dxa"/>
              <w:bottom w:w="0" w:type="dxa"/>
              <w:right w:w="0" w:type="dxa"/>
            </w:tcMar>
            <w:vAlign w:val="center"/>
          </w:tcPr>
          <w:p w14:paraId="17C3F10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1,732</w:t>
            </w:r>
          </w:p>
        </w:tc>
        <w:tc>
          <w:tcPr>
            <w:tcW w:w="357" w:type="pct"/>
            <w:shd w:val="clear" w:color="auto" w:fill="FFFFFF"/>
            <w:tcMar>
              <w:top w:w="0" w:type="dxa"/>
              <w:left w:w="0" w:type="dxa"/>
              <w:bottom w:w="0" w:type="dxa"/>
              <w:right w:w="0" w:type="dxa"/>
            </w:tcMar>
            <w:vAlign w:val="center"/>
          </w:tcPr>
          <w:p w14:paraId="5301DCB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2,068</w:t>
            </w:r>
          </w:p>
        </w:tc>
        <w:tc>
          <w:tcPr>
            <w:tcW w:w="357" w:type="pct"/>
            <w:shd w:val="clear" w:color="auto" w:fill="FFFFFF"/>
            <w:tcMar>
              <w:top w:w="0" w:type="dxa"/>
              <w:left w:w="0" w:type="dxa"/>
              <w:bottom w:w="0" w:type="dxa"/>
              <w:right w:w="0" w:type="dxa"/>
            </w:tcMar>
            <w:vAlign w:val="center"/>
          </w:tcPr>
          <w:p w14:paraId="097CAC5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2,624</w:t>
            </w:r>
          </w:p>
        </w:tc>
        <w:tc>
          <w:tcPr>
            <w:tcW w:w="357" w:type="pct"/>
            <w:shd w:val="clear" w:color="auto" w:fill="FFFFFF"/>
            <w:tcMar>
              <w:top w:w="0" w:type="dxa"/>
              <w:left w:w="0" w:type="dxa"/>
              <w:bottom w:w="0" w:type="dxa"/>
              <w:right w:w="0" w:type="dxa"/>
            </w:tcMar>
            <w:vAlign w:val="center"/>
          </w:tcPr>
          <w:p w14:paraId="0EECACB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2,893</w:t>
            </w:r>
          </w:p>
        </w:tc>
        <w:tc>
          <w:tcPr>
            <w:tcW w:w="357" w:type="pct"/>
            <w:shd w:val="clear" w:color="auto" w:fill="FFFFFF"/>
            <w:tcMar>
              <w:top w:w="0" w:type="dxa"/>
              <w:left w:w="0" w:type="dxa"/>
              <w:bottom w:w="0" w:type="dxa"/>
              <w:right w:w="0" w:type="dxa"/>
            </w:tcMar>
            <w:vAlign w:val="center"/>
          </w:tcPr>
          <w:p w14:paraId="28AA04C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1D851CA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16A929E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6A3E1285" w14:textId="77777777" w:rsidTr="00F92D87">
        <w:trPr>
          <w:cantSplit/>
          <w:trHeight w:val="564"/>
          <w:jc w:val="center"/>
        </w:trPr>
        <w:tc>
          <w:tcPr>
            <w:tcW w:w="1786" w:type="pct"/>
            <w:shd w:val="clear" w:color="auto" w:fill="FFFFFF"/>
            <w:tcMar>
              <w:top w:w="0" w:type="dxa"/>
              <w:left w:w="0" w:type="dxa"/>
              <w:bottom w:w="0" w:type="dxa"/>
              <w:right w:w="0" w:type="dxa"/>
            </w:tcMar>
            <w:vAlign w:val="center"/>
          </w:tcPr>
          <w:p w14:paraId="299B7E16"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Survived for three years</w:t>
            </w:r>
          </w:p>
        </w:tc>
        <w:tc>
          <w:tcPr>
            <w:tcW w:w="357" w:type="pct"/>
            <w:shd w:val="clear" w:color="auto" w:fill="FFFFFF"/>
            <w:tcMar>
              <w:top w:w="0" w:type="dxa"/>
              <w:left w:w="0" w:type="dxa"/>
              <w:bottom w:w="0" w:type="dxa"/>
              <w:right w:w="0" w:type="dxa"/>
            </w:tcMar>
            <w:vAlign w:val="center"/>
          </w:tcPr>
          <w:p w14:paraId="4D40D9B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1,342</w:t>
            </w:r>
          </w:p>
        </w:tc>
        <w:tc>
          <w:tcPr>
            <w:tcW w:w="357" w:type="pct"/>
            <w:shd w:val="clear" w:color="auto" w:fill="FFFFFF"/>
            <w:tcMar>
              <w:top w:w="0" w:type="dxa"/>
              <w:left w:w="0" w:type="dxa"/>
              <w:bottom w:w="0" w:type="dxa"/>
              <w:right w:w="0" w:type="dxa"/>
            </w:tcMar>
            <w:vAlign w:val="center"/>
          </w:tcPr>
          <w:p w14:paraId="4BEC7B5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1,568</w:t>
            </w:r>
          </w:p>
        </w:tc>
        <w:tc>
          <w:tcPr>
            <w:tcW w:w="357" w:type="pct"/>
            <w:shd w:val="clear" w:color="auto" w:fill="FFFFFF"/>
            <w:tcMar>
              <w:top w:w="0" w:type="dxa"/>
              <w:left w:w="0" w:type="dxa"/>
              <w:bottom w:w="0" w:type="dxa"/>
              <w:right w:w="0" w:type="dxa"/>
            </w:tcMar>
            <w:vAlign w:val="center"/>
          </w:tcPr>
          <w:p w14:paraId="4A44DE9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1,658</w:t>
            </w:r>
          </w:p>
        </w:tc>
        <w:tc>
          <w:tcPr>
            <w:tcW w:w="357" w:type="pct"/>
            <w:shd w:val="clear" w:color="auto" w:fill="FFFFFF"/>
            <w:tcMar>
              <w:top w:w="0" w:type="dxa"/>
              <w:left w:w="0" w:type="dxa"/>
              <w:bottom w:w="0" w:type="dxa"/>
              <w:right w:w="0" w:type="dxa"/>
            </w:tcMar>
            <w:vAlign w:val="center"/>
          </w:tcPr>
          <w:p w14:paraId="4F1B6DB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1,921</w:t>
            </w:r>
          </w:p>
        </w:tc>
        <w:tc>
          <w:tcPr>
            <w:tcW w:w="357" w:type="pct"/>
            <w:shd w:val="clear" w:color="auto" w:fill="FFFFFF"/>
            <w:tcMar>
              <w:top w:w="0" w:type="dxa"/>
              <w:left w:w="0" w:type="dxa"/>
              <w:bottom w:w="0" w:type="dxa"/>
              <w:right w:w="0" w:type="dxa"/>
            </w:tcMar>
            <w:vAlign w:val="center"/>
          </w:tcPr>
          <w:p w14:paraId="6A4BF34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2,385</w:t>
            </w:r>
          </w:p>
        </w:tc>
        <w:tc>
          <w:tcPr>
            <w:tcW w:w="357" w:type="pct"/>
            <w:shd w:val="clear" w:color="auto" w:fill="FFFFFF"/>
            <w:tcMar>
              <w:top w:w="0" w:type="dxa"/>
              <w:left w:w="0" w:type="dxa"/>
              <w:bottom w:w="0" w:type="dxa"/>
              <w:right w:w="0" w:type="dxa"/>
            </w:tcMar>
            <w:vAlign w:val="center"/>
          </w:tcPr>
          <w:p w14:paraId="7EC175D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5ED27AA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4BB8C99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0B19722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6867E2DE" w14:textId="77777777" w:rsidTr="00F92D87">
        <w:trPr>
          <w:cantSplit/>
          <w:trHeight w:val="686"/>
          <w:jc w:val="center"/>
        </w:trPr>
        <w:tc>
          <w:tcPr>
            <w:tcW w:w="1786" w:type="pct"/>
            <w:shd w:val="clear" w:color="auto" w:fill="FFFFFF"/>
            <w:tcMar>
              <w:top w:w="0" w:type="dxa"/>
              <w:left w:w="0" w:type="dxa"/>
              <w:bottom w:w="0" w:type="dxa"/>
              <w:right w:w="0" w:type="dxa"/>
            </w:tcMar>
            <w:vAlign w:val="center"/>
          </w:tcPr>
          <w:p w14:paraId="6A5960EA"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Survived for four years</w:t>
            </w:r>
          </w:p>
        </w:tc>
        <w:tc>
          <w:tcPr>
            <w:tcW w:w="357" w:type="pct"/>
            <w:shd w:val="clear" w:color="auto" w:fill="FFFFFF"/>
            <w:tcMar>
              <w:top w:w="0" w:type="dxa"/>
              <w:left w:w="0" w:type="dxa"/>
              <w:bottom w:w="0" w:type="dxa"/>
              <w:right w:w="0" w:type="dxa"/>
            </w:tcMar>
            <w:vAlign w:val="center"/>
          </w:tcPr>
          <w:p w14:paraId="01E7E0B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1,278</w:t>
            </w:r>
          </w:p>
        </w:tc>
        <w:tc>
          <w:tcPr>
            <w:tcW w:w="357" w:type="pct"/>
            <w:shd w:val="clear" w:color="auto" w:fill="FFFFFF"/>
            <w:tcMar>
              <w:top w:w="0" w:type="dxa"/>
              <w:left w:w="0" w:type="dxa"/>
              <w:bottom w:w="0" w:type="dxa"/>
              <w:right w:w="0" w:type="dxa"/>
            </w:tcMar>
            <w:vAlign w:val="center"/>
          </w:tcPr>
          <w:p w14:paraId="37A512BE"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1,523</w:t>
            </w:r>
          </w:p>
        </w:tc>
        <w:tc>
          <w:tcPr>
            <w:tcW w:w="357" w:type="pct"/>
            <w:shd w:val="clear" w:color="auto" w:fill="FFFFFF"/>
            <w:tcMar>
              <w:top w:w="0" w:type="dxa"/>
              <w:left w:w="0" w:type="dxa"/>
              <w:bottom w:w="0" w:type="dxa"/>
              <w:right w:w="0" w:type="dxa"/>
            </w:tcMar>
            <w:vAlign w:val="center"/>
          </w:tcPr>
          <w:p w14:paraId="52CCCE5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1,582</w:t>
            </w:r>
          </w:p>
        </w:tc>
        <w:tc>
          <w:tcPr>
            <w:tcW w:w="357" w:type="pct"/>
            <w:shd w:val="clear" w:color="auto" w:fill="FFFFFF"/>
            <w:tcMar>
              <w:top w:w="0" w:type="dxa"/>
              <w:left w:w="0" w:type="dxa"/>
              <w:bottom w:w="0" w:type="dxa"/>
              <w:right w:w="0" w:type="dxa"/>
            </w:tcMar>
            <w:vAlign w:val="center"/>
          </w:tcPr>
          <w:p w14:paraId="16144C0D"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1,779</w:t>
            </w:r>
          </w:p>
        </w:tc>
        <w:tc>
          <w:tcPr>
            <w:tcW w:w="357" w:type="pct"/>
            <w:shd w:val="clear" w:color="auto" w:fill="FFFFFF"/>
            <w:tcMar>
              <w:top w:w="0" w:type="dxa"/>
              <w:left w:w="0" w:type="dxa"/>
              <w:bottom w:w="0" w:type="dxa"/>
              <w:right w:w="0" w:type="dxa"/>
            </w:tcMar>
            <w:vAlign w:val="center"/>
          </w:tcPr>
          <w:p w14:paraId="23B658E7"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257D690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573282C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47D04C0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1D01C82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013A32FC" w14:textId="77777777" w:rsidTr="00F92D87">
        <w:trPr>
          <w:cantSplit/>
          <w:trHeight w:val="710"/>
          <w:jc w:val="center"/>
        </w:trPr>
        <w:tc>
          <w:tcPr>
            <w:tcW w:w="1786" w:type="pct"/>
            <w:shd w:val="clear" w:color="auto" w:fill="FFFFFF"/>
            <w:tcMar>
              <w:top w:w="0" w:type="dxa"/>
              <w:left w:w="0" w:type="dxa"/>
              <w:bottom w:w="0" w:type="dxa"/>
              <w:right w:w="0" w:type="dxa"/>
            </w:tcMar>
            <w:vAlign w:val="center"/>
          </w:tcPr>
          <w:p w14:paraId="74775E06"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Survived for five years</w:t>
            </w:r>
          </w:p>
        </w:tc>
        <w:tc>
          <w:tcPr>
            <w:tcW w:w="357" w:type="pct"/>
            <w:shd w:val="clear" w:color="auto" w:fill="FFFFFF"/>
            <w:tcMar>
              <w:top w:w="0" w:type="dxa"/>
              <w:left w:w="0" w:type="dxa"/>
              <w:bottom w:w="0" w:type="dxa"/>
              <w:right w:w="0" w:type="dxa"/>
            </w:tcMar>
            <w:vAlign w:val="center"/>
          </w:tcPr>
          <w:p w14:paraId="225F044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1,246</w:t>
            </w:r>
          </w:p>
        </w:tc>
        <w:tc>
          <w:tcPr>
            <w:tcW w:w="357" w:type="pct"/>
            <w:shd w:val="clear" w:color="auto" w:fill="FFFFFF"/>
            <w:tcMar>
              <w:top w:w="0" w:type="dxa"/>
              <w:left w:w="0" w:type="dxa"/>
              <w:bottom w:w="0" w:type="dxa"/>
              <w:right w:w="0" w:type="dxa"/>
            </w:tcMar>
            <w:vAlign w:val="center"/>
          </w:tcPr>
          <w:p w14:paraId="32346B5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1,465</w:t>
            </w:r>
          </w:p>
        </w:tc>
        <w:tc>
          <w:tcPr>
            <w:tcW w:w="357" w:type="pct"/>
            <w:shd w:val="clear" w:color="auto" w:fill="FFFFFF"/>
            <w:tcMar>
              <w:top w:w="0" w:type="dxa"/>
              <w:left w:w="0" w:type="dxa"/>
              <w:bottom w:w="0" w:type="dxa"/>
              <w:right w:w="0" w:type="dxa"/>
            </w:tcMar>
            <w:vAlign w:val="center"/>
          </w:tcPr>
          <w:p w14:paraId="2005D38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1,522</w:t>
            </w:r>
          </w:p>
        </w:tc>
        <w:tc>
          <w:tcPr>
            <w:tcW w:w="357" w:type="pct"/>
            <w:shd w:val="clear" w:color="auto" w:fill="FFFFFF"/>
            <w:tcMar>
              <w:top w:w="0" w:type="dxa"/>
              <w:left w:w="0" w:type="dxa"/>
              <w:bottom w:w="0" w:type="dxa"/>
              <w:right w:w="0" w:type="dxa"/>
            </w:tcMar>
            <w:vAlign w:val="center"/>
          </w:tcPr>
          <w:p w14:paraId="1A8F9D82"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129A4D0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448B0134"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23BA100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34063BE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c>
          <w:tcPr>
            <w:tcW w:w="357" w:type="pct"/>
            <w:shd w:val="clear" w:color="auto" w:fill="FFFFFF"/>
            <w:tcMar>
              <w:top w:w="0" w:type="dxa"/>
              <w:left w:w="0" w:type="dxa"/>
              <w:bottom w:w="0" w:type="dxa"/>
              <w:right w:w="0" w:type="dxa"/>
            </w:tcMar>
            <w:vAlign w:val="center"/>
          </w:tcPr>
          <w:p w14:paraId="6E34F8D0"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7889BD0B" w14:textId="77777777" w:rsidTr="00F92D87">
        <w:trPr>
          <w:cantSplit/>
          <w:trHeight w:val="706"/>
          <w:jc w:val="center"/>
        </w:trPr>
        <w:tc>
          <w:tcPr>
            <w:tcW w:w="1786" w:type="pct"/>
            <w:shd w:val="clear" w:color="auto" w:fill="FFFFFF"/>
            <w:tcMar>
              <w:top w:w="0" w:type="dxa"/>
              <w:left w:w="0" w:type="dxa"/>
              <w:bottom w:w="0" w:type="dxa"/>
              <w:right w:w="0" w:type="dxa"/>
            </w:tcMar>
            <w:vAlign w:val="center"/>
          </w:tcPr>
          <w:p w14:paraId="30C2A4EC" w14:textId="77777777" w:rsidR="004C3088" w:rsidRPr="00F92D87" w:rsidRDefault="002556CC">
            <w:pPr>
              <w:spacing w:before="40" w:after="40"/>
              <w:ind w:left="100" w:right="100"/>
              <w:rPr>
                <w:rFonts w:ascii="Arial" w:hAnsi="Arial" w:cs="Arial"/>
                <w:sz w:val="22"/>
                <w:szCs w:val="22"/>
              </w:rPr>
            </w:pPr>
            <w:r w:rsidRPr="00F92D87">
              <w:rPr>
                <w:rFonts w:ascii="Arial" w:eastAsia="Roboto" w:hAnsi="Arial" w:cs="Arial"/>
                <w:color w:val="111111"/>
                <w:sz w:val="22"/>
                <w:szCs w:val="22"/>
              </w:rPr>
              <w:t>of which: Remains survived so far</w:t>
            </w:r>
          </w:p>
        </w:tc>
        <w:tc>
          <w:tcPr>
            <w:tcW w:w="357" w:type="pct"/>
            <w:shd w:val="clear" w:color="auto" w:fill="FFFFFF"/>
            <w:tcMar>
              <w:top w:w="0" w:type="dxa"/>
              <w:left w:w="0" w:type="dxa"/>
              <w:bottom w:w="0" w:type="dxa"/>
              <w:right w:w="0" w:type="dxa"/>
            </w:tcMar>
            <w:vAlign w:val="center"/>
          </w:tcPr>
          <w:p w14:paraId="363DAE21"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1,169</w:t>
            </w:r>
          </w:p>
        </w:tc>
        <w:tc>
          <w:tcPr>
            <w:tcW w:w="357" w:type="pct"/>
            <w:shd w:val="clear" w:color="auto" w:fill="FFFFFF"/>
            <w:tcMar>
              <w:top w:w="0" w:type="dxa"/>
              <w:left w:w="0" w:type="dxa"/>
              <w:bottom w:w="0" w:type="dxa"/>
              <w:right w:w="0" w:type="dxa"/>
            </w:tcMar>
            <w:vAlign w:val="center"/>
          </w:tcPr>
          <w:p w14:paraId="774DF666"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1,408</w:t>
            </w:r>
          </w:p>
        </w:tc>
        <w:tc>
          <w:tcPr>
            <w:tcW w:w="357" w:type="pct"/>
            <w:shd w:val="clear" w:color="auto" w:fill="FFFFFF"/>
            <w:tcMar>
              <w:top w:w="0" w:type="dxa"/>
              <w:left w:w="0" w:type="dxa"/>
              <w:bottom w:w="0" w:type="dxa"/>
              <w:right w:w="0" w:type="dxa"/>
            </w:tcMar>
            <w:vAlign w:val="center"/>
          </w:tcPr>
          <w:p w14:paraId="04F29773"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1,512</w:t>
            </w:r>
          </w:p>
        </w:tc>
        <w:tc>
          <w:tcPr>
            <w:tcW w:w="357" w:type="pct"/>
            <w:shd w:val="clear" w:color="auto" w:fill="FFFFFF"/>
            <w:tcMar>
              <w:top w:w="0" w:type="dxa"/>
              <w:left w:w="0" w:type="dxa"/>
              <w:bottom w:w="0" w:type="dxa"/>
              <w:right w:w="0" w:type="dxa"/>
            </w:tcMar>
            <w:vAlign w:val="center"/>
          </w:tcPr>
          <w:p w14:paraId="69A8DBEF"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1,745</w:t>
            </w:r>
          </w:p>
        </w:tc>
        <w:tc>
          <w:tcPr>
            <w:tcW w:w="357" w:type="pct"/>
            <w:shd w:val="clear" w:color="auto" w:fill="FFFFFF"/>
            <w:tcMar>
              <w:top w:w="0" w:type="dxa"/>
              <w:left w:w="0" w:type="dxa"/>
              <w:bottom w:w="0" w:type="dxa"/>
              <w:right w:w="0" w:type="dxa"/>
            </w:tcMar>
            <w:vAlign w:val="center"/>
          </w:tcPr>
          <w:p w14:paraId="0E0A52C5"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2,326</w:t>
            </w:r>
          </w:p>
        </w:tc>
        <w:tc>
          <w:tcPr>
            <w:tcW w:w="357" w:type="pct"/>
            <w:shd w:val="clear" w:color="auto" w:fill="FFFFFF"/>
            <w:tcMar>
              <w:top w:w="0" w:type="dxa"/>
              <w:left w:w="0" w:type="dxa"/>
              <w:bottom w:w="0" w:type="dxa"/>
              <w:right w:w="0" w:type="dxa"/>
            </w:tcMar>
            <w:vAlign w:val="center"/>
          </w:tcPr>
          <w:p w14:paraId="3D15F51B"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2,811</w:t>
            </w:r>
          </w:p>
        </w:tc>
        <w:tc>
          <w:tcPr>
            <w:tcW w:w="357" w:type="pct"/>
            <w:shd w:val="clear" w:color="auto" w:fill="FFFFFF"/>
            <w:tcMar>
              <w:top w:w="0" w:type="dxa"/>
              <w:left w:w="0" w:type="dxa"/>
              <w:bottom w:w="0" w:type="dxa"/>
              <w:right w:w="0" w:type="dxa"/>
            </w:tcMar>
            <w:vAlign w:val="center"/>
          </w:tcPr>
          <w:p w14:paraId="0E68E6BA"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3,567</w:t>
            </w:r>
          </w:p>
        </w:tc>
        <w:tc>
          <w:tcPr>
            <w:tcW w:w="357" w:type="pct"/>
            <w:shd w:val="clear" w:color="auto" w:fill="FFFFFF"/>
            <w:tcMar>
              <w:top w:w="0" w:type="dxa"/>
              <w:left w:w="0" w:type="dxa"/>
              <w:bottom w:w="0" w:type="dxa"/>
              <w:right w:w="0" w:type="dxa"/>
            </w:tcMar>
            <w:vAlign w:val="center"/>
          </w:tcPr>
          <w:p w14:paraId="69681FD8"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4,723</w:t>
            </w:r>
          </w:p>
        </w:tc>
        <w:tc>
          <w:tcPr>
            <w:tcW w:w="357" w:type="pct"/>
            <w:shd w:val="clear" w:color="auto" w:fill="FFFFFF"/>
            <w:tcMar>
              <w:top w:w="0" w:type="dxa"/>
              <w:left w:w="0" w:type="dxa"/>
              <w:bottom w:w="0" w:type="dxa"/>
              <w:right w:w="0" w:type="dxa"/>
            </w:tcMar>
            <w:vAlign w:val="center"/>
          </w:tcPr>
          <w:p w14:paraId="5A9A9D19" w14:textId="77777777" w:rsidR="004C3088" w:rsidRPr="00F92D87" w:rsidRDefault="002556CC">
            <w:pPr>
              <w:spacing w:before="40" w:after="40"/>
              <w:ind w:left="100" w:right="100"/>
              <w:jc w:val="right"/>
              <w:rPr>
                <w:rFonts w:ascii="Arial" w:hAnsi="Arial" w:cs="Arial"/>
                <w:sz w:val="22"/>
                <w:szCs w:val="22"/>
              </w:rPr>
            </w:pPr>
            <w:r w:rsidRPr="00F92D87">
              <w:rPr>
                <w:rFonts w:ascii="Arial" w:eastAsia="Roboto" w:hAnsi="Arial" w:cs="Arial"/>
                <w:color w:val="111111"/>
                <w:sz w:val="22"/>
                <w:szCs w:val="22"/>
              </w:rPr>
              <w:t>[z]</w:t>
            </w:r>
          </w:p>
        </w:tc>
      </w:tr>
      <w:tr w:rsidR="004C3088" w:rsidRPr="00F92D87" w14:paraId="7115A797" w14:textId="77777777" w:rsidTr="00F92D87">
        <w:trPr>
          <w:cantSplit/>
          <w:trHeight w:val="1092"/>
          <w:jc w:val="center"/>
        </w:trPr>
        <w:tc>
          <w:tcPr>
            <w:tcW w:w="5000" w:type="pct"/>
            <w:gridSpan w:val="10"/>
            <w:tcBorders>
              <w:top w:val="single" w:sz="8" w:space="0" w:color="BEBEBE"/>
            </w:tcBorders>
            <w:shd w:val="clear" w:color="auto" w:fill="FFFFFF"/>
            <w:tcMar>
              <w:top w:w="0" w:type="dxa"/>
              <w:left w:w="0" w:type="dxa"/>
              <w:bottom w:w="0" w:type="dxa"/>
              <w:right w:w="0" w:type="dxa"/>
            </w:tcMar>
            <w:vAlign w:val="center"/>
          </w:tcPr>
          <w:p w14:paraId="57263D97" w14:textId="77777777" w:rsidR="004C3088" w:rsidRPr="00F92D87" w:rsidRDefault="002556CC">
            <w:pPr>
              <w:spacing w:after="0"/>
              <w:rPr>
                <w:rFonts w:ascii="Arial" w:hAnsi="Arial" w:cs="Arial"/>
                <w:sz w:val="22"/>
                <w:szCs w:val="22"/>
              </w:rPr>
            </w:pPr>
            <w:r w:rsidRPr="00F92D87">
              <w:rPr>
                <w:rFonts w:ascii="Arial" w:eastAsia="Arial" w:hAnsi="Arial" w:cs="Arial"/>
                <w:color w:val="000000"/>
                <w:sz w:val="22"/>
                <w:szCs w:val="22"/>
              </w:rPr>
              <w:t>Source: Accountant in Bankruptcy</w:t>
            </w:r>
          </w:p>
        </w:tc>
      </w:tr>
    </w:tbl>
    <w:p w14:paraId="66CB2E9C" w14:textId="77777777" w:rsidR="004C3088" w:rsidRDefault="004C3088">
      <w:pPr>
        <w:pStyle w:val="BodyText"/>
      </w:pPr>
    </w:p>
    <w:p w14:paraId="1BC80019" w14:textId="49F08F32" w:rsidR="004C3088" w:rsidRDefault="002556CC">
      <w:pPr>
        <w:pStyle w:val="BodyText"/>
      </w:pPr>
      <w:r>
        <w:t xml:space="preserve">Table 9 above also shows the length of survival of approved DAS cases by financial year of the approval date since 2015-16. The five-year survival rate for all DAS cases approved in 2017-18 which either remained live or became completed successfully in 2022-23 was around </w:t>
      </w:r>
      <w:r w:rsidR="00D34820">
        <w:t>65.7</w:t>
      </w:r>
      <w:r>
        <w:t>%.</w:t>
      </w:r>
    </w:p>
    <w:p w14:paraId="62B8885C" w14:textId="77777777" w:rsidR="004C3088" w:rsidRDefault="002556CC">
      <w:pPr>
        <w:pStyle w:val="BodyText"/>
      </w:pPr>
      <w:r>
        <w:lastRenderedPageBreak/>
        <w:t>Chart 6 below shows the percentage of DAS cases approved resulting in revocation within one to three years of the approval date.</w:t>
      </w:r>
    </w:p>
    <w:p w14:paraId="5C5423FC" w14:textId="77777777" w:rsidR="004C3088" w:rsidRDefault="002556CC">
      <w:pPr>
        <w:pStyle w:val="BodyText"/>
      </w:pPr>
      <w:r>
        <w:t>In 2022-23, the one-year DAS revocation rate fell below the rate for all earlier years (up to 2015-16). It is important to note that this one-year DAS revocation rate for 2022-23 (fixed as at 31 March 2023) may increase in the next financial year because cases approved in late 2022-23 may result in revocation in 2022-23 and statistics on 2023-24 are not included in this annual report. For example, in the previous annual report, the one-year DAS revocation rate was 6.5% as at 31 March 2022. This has been revised upwards to 15.7%.</w:t>
      </w:r>
    </w:p>
    <w:p w14:paraId="22F57056" w14:textId="77777777" w:rsidR="004C3088" w:rsidRDefault="004C3088">
      <w:pPr>
        <w:pStyle w:val="BodyText"/>
      </w:pPr>
    </w:p>
    <w:p w14:paraId="3CE35B66" w14:textId="77777777" w:rsidR="004C3088" w:rsidRDefault="002556CC">
      <w:pPr>
        <w:pStyle w:val="CaptionedFigure"/>
      </w:pPr>
      <w:r>
        <w:rPr>
          <w:noProof/>
        </w:rPr>
        <w:drawing>
          <wp:inline distT="0" distB="0" distL="0" distR="0" wp14:anchorId="500D8865" wp14:editId="32366475">
            <wp:extent cx="5943600" cy="4242598"/>
            <wp:effectExtent l="0" t="0" r="0" b="0"/>
            <wp:docPr id="23" name="Picture" descr="Chart 6 shows the percentage of DPPs revoked within 1, 2, and 3 years by financial year of the approval date, 2015-16 to 2022-23. This chart shows that around 5% of DPPs approved in 2021-22 were revoked within 1 year."/>
            <wp:cNvGraphicFramePr/>
            <a:graphic xmlns:a="http://schemas.openxmlformats.org/drawingml/2006/main">
              <a:graphicData uri="http://schemas.openxmlformats.org/drawingml/2006/picture">
                <pic:pic xmlns:pic="http://schemas.openxmlformats.org/drawingml/2006/picture">
                  <pic:nvPicPr>
                    <pic:cNvPr id="24" name="Picture" descr="_pub_chart_6_plot.png"/>
                    <pic:cNvPicPr>
                      <a:picLocks noChangeAspect="1" noChangeArrowheads="1"/>
                    </pic:cNvPicPr>
                  </pic:nvPicPr>
                  <pic:blipFill>
                    <a:blip r:embed="rId29"/>
                    <a:stretch>
                      <a:fillRect/>
                    </a:stretch>
                  </pic:blipFill>
                  <pic:spPr bwMode="auto">
                    <a:xfrm>
                      <a:off x="0" y="0"/>
                      <a:ext cx="5943600" cy="4242598"/>
                    </a:xfrm>
                    <a:prstGeom prst="rect">
                      <a:avLst/>
                    </a:prstGeom>
                    <a:noFill/>
                    <a:ln w="9525">
                      <a:noFill/>
                      <a:headEnd/>
                      <a:tailEnd/>
                    </a:ln>
                  </pic:spPr>
                </pic:pic>
              </a:graphicData>
            </a:graphic>
          </wp:inline>
        </w:drawing>
      </w:r>
    </w:p>
    <w:p w14:paraId="2EAF152B" w14:textId="77777777" w:rsidR="004C3088" w:rsidRDefault="004C3088">
      <w:pPr>
        <w:pStyle w:val="BodyText"/>
      </w:pPr>
    </w:p>
    <w:p w14:paraId="0DCBD53C" w14:textId="77777777" w:rsidR="004C3088" w:rsidRDefault="002556CC">
      <w:pPr>
        <w:pStyle w:val="Heading2"/>
      </w:pPr>
      <w:bookmarkStart w:id="28" w:name="corporate-insolvency"/>
      <w:bookmarkStart w:id="29" w:name="_Toc142064474"/>
      <w:r>
        <w:lastRenderedPageBreak/>
        <w:t>Corporate Insolvency</w:t>
      </w:r>
      <w:bookmarkEnd w:id="28"/>
      <w:bookmarkEnd w:id="29"/>
    </w:p>
    <w:p w14:paraId="5FC024A1" w14:textId="77777777" w:rsidR="004C3088" w:rsidRDefault="002556CC">
      <w:pPr>
        <w:pStyle w:val="FirstParagraph"/>
      </w:pPr>
      <w:r>
        <w:t>AiB is responsible for devolved elements of corporate insolvency, including: development of policy on liquidation and receivership, and the management and maintainence of the Register of Insolvencies.</w:t>
      </w:r>
    </w:p>
    <w:p w14:paraId="694A196A" w14:textId="77777777" w:rsidR="004C3088" w:rsidRDefault="002556CC">
      <w:pPr>
        <w:pStyle w:val="BodyText"/>
      </w:pPr>
      <w:r>
        <w:t>The Register of Insolvencies contains details of liquidation and receivership of Scottish businesses which are wound up by either a Sheriff Court or the Court of Session. AiB is required to be notified of all company liquidations and receiverships in Scotland.</w:t>
      </w:r>
    </w:p>
    <w:p w14:paraId="5ABDEB0C" w14:textId="77777777" w:rsidR="004C3088" w:rsidRDefault="002556CC">
      <w:pPr>
        <w:pStyle w:val="BodyText"/>
      </w:pPr>
      <w:r>
        <w:t>Reserved elements remain the responsibility of the UK Government and are dealt with by The Insolvency Service, an executive agency sponsored by the Department for Business, Energy &amp; Industrial Strategy. Reserved elements include: company voluntary arrangements, administration, legal effects of liquidation and regulation of insolvency practitioners. Statistics on these reserved elements are available from The Insolvency Service.</w:t>
      </w:r>
    </w:p>
    <w:p w14:paraId="42EF08A5" w14:textId="77777777" w:rsidR="004C3088" w:rsidRDefault="002556CC">
      <w:pPr>
        <w:pStyle w:val="BodyText"/>
      </w:pPr>
      <w:r>
        <w:t>It is important to note that the statistics for corporate insolvencies and members’ voluntary liquidations presented below are based on the date either process was registered on AiB’s administrative system. As a consequence, there is a time lag between the dates when a corporate insolvency is awarded or a member voluntary liquidation is registered and when AiB receives notice.</w:t>
      </w:r>
    </w:p>
    <w:p w14:paraId="672B8140" w14:textId="77777777" w:rsidR="004C3088" w:rsidRDefault="002556CC">
      <w:pPr>
        <w:pStyle w:val="BodyText"/>
      </w:pPr>
      <w:r>
        <w:t>Corporate insolvency statistics presented here may differ from equivalent statistics published by The Insolvency Service, who source their data from Companies House. Similarly, members’ voluntary liquidations presented here may differ from equivalent statistics published by Companies House.</w:t>
      </w:r>
    </w:p>
    <w:p w14:paraId="0B0A4FE4" w14:textId="77777777" w:rsidR="004C3088" w:rsidRDefault="002556CC">
      <w:pPr>
        <w:pStyle w:val="BodyText"/>
      </w:pPr>
      <w:r>
        <w:t>With this caveat in mind, there were 1,132 corporate insolvencies in 2022-23, 278 more than in 2021-22. Corporate insolvencies include receivership appointments, compulsory liquidations and creditors’ voluntary liquidations, this breakdown is detailed in Table 10 below. Historically, the volume of corporate insolvencies in Scotland have been driven by compulsory liquidations. Since 2020-21, this has not been the case.</w:t>
      </w:r>
    </w:p>
    <w:p w14:paraId="25A796ED" w14:textId="77777777" w:rsidR="004C3088" w:rsidRDefault="004C3088">
      <w:pPr>
        <w:pStyle w:val="BodyText"/>
      </w:pPr>
    </w:p>
    <w:tbl>
      <w:tblPr>
        <w:tblW w:w="5000" w:type="pct"/>
        <w:jc w:val="center"/>
        <w:tblLook w:val="04A0" w:firstRow="1" w:lastRow="0" w:firstColumn="1" w:lastColumn="0" w:noHBand="0" w:noVBand="1"/>
      </w:tblPr>
      <w:tblGrid>
        <w:gridCol w:w="2285"/>
        <w:gridCol w:w="763"/>
        <w:gridCol w:w="763"/>
        <w:gridCol w:w="763"/>
        <w:gridCol w:w="763"/>
        <w:gridCol w:w="763"/>
        <w:gridCol w:w="763"/>
        <w:gridCol w:w="763"/>
        <w:gridCol w:w="763"/>
        <w:gridCol w:w="971"/>
      </w:tblGrid>
      <w:tr w:rsidR="004C3088" w:rsidRPr="002556CC" w14:paraId="388C506C" w14:textId="77777777" w:rsidTr="002556CC">
        <w:trPr>
          <w:cantSplit/>
          <w:trHeight w:val="839"/>
          <w:tblHeader/>
          <w:jc w:val="center"/>
        </w:trPr>
        <w:tc>
          <w:tcPr>
            <w:tcW w:w="1538" w:type="pct"/>
            <w:tcBorders>
              <w:bottom w:val="single" w:sz="8" w:space="0" w:color="BEBEBE"/>
            </w:tcBorders>
            <w:shd w:val="clear" w:color="auto" w:fill="FFFFFF"/>
            <w:tcMar>
              <w:top w:w="0" w:type="dxa"/>
              <w:left w:w="0" w:type="dxa"/>
              <w:bottom w:w="0" w:type="dxa"/>
              <w:right w:w="0" w:type="dxa"/>
            </w:tcMar>
            <w:vAlign w:val="center"/>
          </w:tcPr>
          <w:p w14:paraId="2955C54F"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b/>
                <w:color w:val="111111"/>
                <w:sz w:val="22"/>
                <w:szCs w:val="22"/>
              </w:rPr>
              <w:lastRenderedPageBreak/>
              <w:t>Financial year of the receipt date</w:t>
            </w:r>
          </w:p>
        </w:tc>
        <w:tc>
          <w:tcPr>
            <w:tcW w:w="385" w:type="pct"/>
            <w:tcBorders>
              <w:bottom w:val="single" w:sz="8" w:space="0" w:color="BEBEBE"/>
            </w:tcBorders>
            <w:shd w:val="clear" w:color="auto" w:fill="FFFFFF"/>
            <w:tcMar>
              <w:top w:w="0" w:type="dxa"/>
              <w:left w:w="0" w:type="dxa"/>
              <w:bottom w:w="0" w:type="dxa"/>
              <w:right w:w="0" w:type="dxa"/>
            </w:tcMar>
            <w:vAlign w:val="center"/>
          </w:tcPr>
          <w:p w14:paraId="5A7F3EEA"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2015-16</w:t>
            </w:r>
          </w:p>
        </w:tc>
        <w:tc>
          <w:tcPr>
            <w:tcW w:w="385" w:type="pct"/>
            <w:tcBorders>
              <w:bottom w:val="single" w:sz="8" w:space="0" w:color="BEBEBE"/>
            </w:tcBorders>
            <w:shd w:val="clear" w:color="auto" w:fill="FFFFFF"/>
            <w:tcMar>
              <w:top w:w="0" w:type="dxa"/>
              <w:left w:w="0" w:type="dxa"/>
              <w:bottom w:w="0" w:type="dxa"/>
              <w:right w:w="0" w:type="dxa"/>
            </w:tcMar>
            <w:vAlign w:val="center"/>
          </w:tcPr>
          <w:p w14:paraId="5E9D8154"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2016-17</w:t>
            </w:r>
          </w:p>
        </w:tc>
        <w:tc>
          <w:tcPr>
            <w:tcW w:w="385" w:type="pct"/>
            <w:tcBorders>
              <w:bottom w:val="single" w:sz="8" w:space="0" w:color="BEBEBE"/>
            </w:tcBorders>
            <w:shd w:val="clear" w:color="auto" w:fill="FFFFFF"/>
            <w:tcMar>
              <w:top w:w="0" w:type="dxa"/>
              <w:left w:w="0" w:type="dxa"/>
              <w:bottom w:w="0" w:type="dxa"/>
              <w:right w:w="0" w:type="dxa"/>
            </w:tcMar>
            <w:vAlign w:val="center"/>
          </w:tcPr>
          <w:p w14:paraId="5B776A0D"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2017-18</w:t>
            </w:r>
          </w:p>
        </w:tc>
        <w:tc>
          <w:tcPr>
            <w:tcW w:w="385" w:type="pct"/>
            <w:tcBorders>
              <w:bottom w:val="single" w:sz="8" w:space="0" w:color="BEBEBE"/>
            </w:tcBorders>
            <w:shd w:val="clear" w:color="auto" w:fill="FFFFFF"/>
            <w:tcMar>
              <w:top w:w="0" w:type="dxa"/>
              <w:left w:w="0" w:type="dxa"/>
              <w:bottom w:w="0" w:type="dxa"/>
              <w:right w:w="0" w:type="dxa"/>
            </w:tcMar>
            <w:vAlign w:val="center"/>
          </w:tcPr>
          <w:p w14:paraId="0F2C5C34"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2018-19</w:t>
            </w:r>
          </w:p>
        </w:tc>
        <w:tc>
          <w:tcPr>
            <w:tcW w:w="385" w:type="pct"/>
            <w:tcBorders>
              <w:bottom w:val="single" w:sz="8" w:space="0" w:color="BEBEBE"/>
            </w:tcBorders>
            <w:shd w:val="clear" w:color="auto" w:fill="FFFFFF"/>
            <w:tcMar>
              <w:top w:w="0" w:type="dxa"/>
              <w:left w:w="0" w:type="dxa"/>
              <w:bottom w:w="0" w:type="dxa"/>
              <w:right w:w="0" w:type="dxa"/>
            </w:tcMar>
            <w:vAlign w:val="center"/>
          </w:tcPr>
          <w:p w14:paraId="33D9E473"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2019-20</w:t>
            </w:r>
          </w:p>
        </w:tc>
        <w:tc>
          <w:tcPr>
            <w:tcW w:w="385" w:type="pct"/>
            <w:tcBorders>
              <w:bottom w:val="single" w:sz="8" w:space="0" w:color="BEBEBE"/>
            </w:tcBorders>
            <w:shd w:val="clear" w:color="auto" w:fill="FFFFFF"/>
            <w:tcMar>
              <w:top w:w="0" w:type="dxa"/>
              <w:left w:w="0" w:type="dxa"/>
              <w:bottom w:w="0" w:type="dxa"/>
              <w:right w:w="0" w:type="dxa"/>
            </w:tcMar>
            <w:vAlign w:val="center"/>
          </w:tcPr>
          <w:p w14:paraId="491DD409"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2020-21</w:t>
            </w:r>
          </w:p>
        </w:tc>
        <w:tc>
          <w:tcPr>
            <w:tcW w:w="385" w:type="pct"/>
            <w:tcBorders>
              <w:bottom w:val="single" w:sz="8" w:space="0" w:color="BEBEBE"/>
            </w:tcBorders>
            <w:shd w:val="clear" w:color="auto" w:fill="FFFFFF"/>
            <w:tcMar>
              <w:top w:w="0" w:type="dxa"/>
              <w:left w:w="0" w:type="dxa"/>
              <w:bottom w:w="0" w:type="dxa"/>
              <w:right w:w="0" w:type="dxa"/>
            </w:tcMar>
            <w:vAlign w:val="center"/>
          </w:tcPr>
          <w:p w14:paraId="185C4952"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2021-22</w:t>
            </w:r>
          </w:p>
        </w:tc>
        <w:tc>
          <w:tcPr>
            <w:tcW w:w="385" w:type="pct"/>
            <w:tcBorders>
              <w:bottom w:val="single" w:sz="8" w:space="0" w:color="BEBEBE"/>
            </w:tcBorders>
            <w:shd w:val="clear" w:color="auto" w:fill="FFFFFF"/>
            <w:tcMar>
              <w:top w:w="0" w:type="dxa"/>
              <w:left w:w="0" w:type="dxa"/>
              <w:bottom w:w="0" w:type="dxa"/>
              <w:right w:w="0" w:type="dxa"/>
            </w:tcMar>
            <w:vAlign w:val="center"/>
          </w:tcPr>
          <w:p w14:paraId="27757F6B"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2022-23</w:t>
            </w:r>
          </w:p>
        </w:tc>
        <w:tc>
          <w:tcPr>
            <w:tcW w:w="385" w:type="pct"/>
            <w:tcBorders>
              <w:bottom w:val="single" w:sz="8" w:space="0" w:color="BEBEBE"/>
            </w:tcBorders>
            <w:shd w:val="clear" w:color="auto" w:fill="FFFFFF"/>
            <w:tcMar>
              <w:top w:w="0" w:type="dxa"/>
              <w:left w:w="0" w:type="dxa"/>
              <w:bottom w:w="0" w:type="dxa"/>
              <w:right w:w="0" w:type="dxa"/>
            </w:tcMar>
            <w:vAlign w:val="center"/>
          </w:tcPr>
          <w:p w14:paraId="61A6014A"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Annual change (%)</w:t>
            </w:r>
          </w:p>
        </w:tc>
      </w:tr>
      <w:tr w:rsidR="004C3088" w:rsidRPr="002556CC" w14:paraId="03E23C3C" w14:textId="77777777" w:rsidTr="002556CC">
        <w:trPr>
          <w:cantSplit/>
          <w:trHeight w:val="839"/>
          <w:jc w:val="center"/>
        </w:trPr>
        <w:tc>
          <w:tcPr>
            <w:tcW w:w="1538" w:type="pct"/>
            <w:shd w:val="clear" w:color="auto" w:fill="FFFFFF"/>
            <w:tcMar>
              <w:top w:w="0" w:type="dxa"/>
              <w:left w:w="0" w:type="dxa"/>
              <w:bottom w:w="0" w:type="dxa"/>
              <w:right w:w="0" w:type="dxa"/>
            </w:tcMar>
            <w:vAlign w:val="center"/>
          </w:tcPr>
          <w:p w14:paraId="79F5FF38"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b/>
                <w:color w:val="111111"/>
                <w:sz w:val="22"/>
                <w:szCs w:val="22"/>
              </w:rPr>
              <w:t>Number of corporate insolvencies</w:t>
            </w:r>
          </w:p>
        </w:tc>
        <w:tc>
          <w:tcPr>
            <w:tcW w:w="385" w:type="pct"/>
            <w:shd w:val="clear" w:color="auto" w:fill="FFFFFF"/>
            <w:tcMar>
              <w:top w:w="0" w:type="dxa"/>
              <w:left w:w="0" w:type="dxa"/>
              <w:bottom w:w="0" w:type="dxa"/>
              <w:right w:w="0" w:type="dxa"/>
            </w:tcMar>
            <w:vAlign w:val="center"/>
          </w:tcPr>
          <w:p w14:paraId="6D4D0C30"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902</w:t>
            </w:r>
          </w:p>
        </w:tc>
        <w:tc>
          <w:tcPr>
            <w:tcW w:w="385" w:type="pct"/>
            <w:shd w:val="clear" w:color="auto" w:fill="FFFFFF"/>
            <w:tcMar>
              <w:top w:w="0" w:type="dxa"/>
              <w:left w:w="0" w:type="dxa"/>
              <w:bottom w:w="0" w:type="dxa"/>
              <w:right w:w="0" w:type="dxa"/>
            </w:tcMar>
            <w:vAlign w:val="center"/>
          </w:tcPr>
          <w:p w14:paraId="3FD98F97"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846</w:t>
            </w:r>
          </w:p>
        </w:tc>
        <w:tc>
          <w:tcPr>
            <w:tcW w:w="385" w:type="pct"/>
            <w:shd w:val="clear" w:color="auto" w:fill="FFFFFF"/>
            <w:tcMar>
              <w:top w:w="0" w:type="dxa"/>
              <w:left w:w="0" w:type="dxa"/>
              <w:bottom w:w="0" w:type="dxa"/>
              <w:right w:w="0" w:type="dxa"/>
            </w:tcMar>
            <w:vAlign w:val="center"/>
          </w:tcPr>
          <w:p w14:paraId="18665AF7"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884</w:t>
            </w:r>
          </w:p>
        </w:tc>
        <w:tc>
          <w:tcPr>
            <w:tcW w:w="385" w:type="pct"/>
            <w:shd w:val="clear" w:color="auto" w:fill="FFFFFF"/>
            <w:tcMar>
              <w:top w:w="0" w:type="dxa"/>
              <w:left w:w="0" w:type="dxa"/>
              <w:bottom w:w="0" w:type="dxa"/>
              <w:right w:w="0" w:type="dxa"/>
            </w:tcMar>
            <w:vAlign w:val="center"/>
          </w:tcPr>
          <w:p w14:paraId="29BC77AB"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967</w:t>
            </w:r>
          </w:p>
        </w:tc>
        <w:tc>
          <w:tcPr>
            <w:tcW w:w="385" w:type="pct"/>
            <w:shd w:val="clear" w:color="auto" w:fill="FFFFFF"/>
            <w:tcMar>
              <w:top w:w="0" w:type="dxa"/>
              <w:left w:w="0" w:type="dxa"/>
              <w:bottom w:w="0" w:type="dxa"/>
              <w:right w:w="0" w:type="dxa"/>
            </w:tcMar>
            <w:vAlign w:val="center"/>
          </w:tcPr>
          <w:p w14:paraId="3E47AEF7"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948</w:t>
            </w:r>
          </w:p>
        </w:tc>
        <w:tc>
          <w:tcPr>
            <w:tcW w:w="385" w:type="pct"/>
            <w:shd w:val="clear" w:color="auto" w:fill="FFFFFF"/>
            <w:tcMar>
              <w:top w:w="0" w:type="dxa"/>
              <w:left w:w="0" w:type="dxa"/>
              <w:bottom w:w="0" w:type="dxa"/>
              <w:right w:w="0" w:type="dxa"/>
            </w:tcMar>
            <w:vAlign w:val="center"/>
          </w:tcPr>
          <w:p w14:paraId="5F101D62"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442</w:t>
            </w:r>
          </w:p>
        </w:tc>
        <w:tc>
          <w:tcPr>
            <w:tcW w:w="385" w:type="pct"/>
            <w:shd w:val="clear" w:color="auto" w:fill="FFFFFF"/>
            <w:tcMar>
              <w:top w:w="0" w:type="dxa"/>
              <w:left w:w="0" w:type="dxa"/>
              <w:bottom w:w="0" w:type="dxa"/>
              <w:right w:w="0" w:type="dxa"/>
            </w:tcMar>
            <w:vAlign w:val="center"/>
          </w:tcPr>
          <w:p w14:paraId="084428C6"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854</w:t>
            </w:r>
          </w:p>
        </w:tc>
        <w:tc>
          <w:tcPr>
            <w:tcW w:w="385" w:type="pct"/>
            <w:shd w:val="clear" w:color="auto" w:fill="FFFFFF"/>
            <w:tcMar>
              <w:top w:w="0" w:type="dxa"/>
              <w:left w:w="0" w:type="dxa"/>
              <w:bottom w:w="0" w:type="dxa"/>
              <w:right w:w="0" w:type="dxa"/>
            </w:tcMar>
            <w:vAlign w:val="center"/>
          </w:tcPr>
          <w:p w14:paraId="39DCE42F"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1,132</w:t>
            </w:r>
          </w:p>
        </w:tc>
        <w:tc>
          <w:tcPr>
            <w:tcW w:w="385" w:type="pct"/>
            <w:shd w:val="clear" w:color="auto" w:fill="FFFFFF"/>
            <w:tcMar>
              <w:top w:w="0" w:type="dxa"/>
              <w:left w:w="0" w:type="dxa"/>
              <w:bottom w:w="0" w:type="dxa"/>
              <w:right w:w="0" w:type="dxa"/>
            </w:tcMar>
            <w:vAlign w:val="center"/>
          </w:tcPr>
          <w:p w14:paraId="6A2AB803"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32.6%</w:t>
            </w:r>
          </w:p>
        </w:tc>
      </w:tr>
      <w:tr w:rsidR="004C3088" w:rsidRPr="002556CC" w14:paraId="106956BB" w14:textId="77777777" w:rsidTr="002556CC">
        <w:trPr>
          <w:cantSplit/>
          <w:trHeight w:val="839"/>
          <w:jc w:val="center"/>
        </w:trPr>
        <w:tc>
          <w:tcPr>
            <w:tcW w:w="1538" w:type="pct"/>
            <w:shd w:val="clear" w:color="auto" w:fill="FFFFFF"/>
            <w:tcMar>
              <w:top w:w="0" w:type="dxa"/>
              <w:left w:w="0" w:type="dxa"/>
              <w:bottom w:w="0" w:type="dxa"/>
              <w:right w:w="0" w:type="dxa"/>
            </w:tcMar>
            <w:vAlign w:val="center"/>
          </w:tcPr>
          <w:p w14:paraId="192D87EA"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of which: Receiverships</w:t>
            </w:r>
          </w:p>
        </w:tc>
        <w:tc>
          <w:tcPr>
            <w:tcW w:w="385" w:type="pct"/>
            <w:shd w:val="clear" w:color="auto" w:fill="FFFFFF"/>
            <w:tcMar>
              <w:top w:w="0" w:type="dxa"/>
              <w:left w:w="0" w:type="dxa"/>
              <w:bottom w:w="0" w:type="dxa"/>
              <w:right w:w="0" w:type="dxa"/>
            </w:tcMar>
            <w:vAlign w:val="center"/>
          </w:tcPr>
          <w:p w14:paraId="02C3E5BE"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4</w:t>
            </w:r>
          </w:p>
        </w:tc>
        <w:tc>
          <w:tcPr>
            <w:tcW w:w="385" w:type="pct"/>
            <w:shd w:val="clear" w:color="auto" w:fill="FFFFFF"/>
            <w:tcMar>
              <w:top w:w="0" w:type="dxa"/>
              <w:left w:w="0" w:type="dxa"/>
              <w:bottom w:w="0" w:type="dxa"/>
              <w:right w:w="0" w:type="dxa"/>
            </w:tcMar>
            <w:vAlign w:val="center"/>
          </w:tcPr>
          <w:p w14:paraId="3051534F"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5</w:t>
            </w:r>
          </w:p>
        </w:tc>
        <w:tc>
          <w:tcPr>
            <w:tcW w:w="385" w:type="pct"/>
            <w:shd w:val="clear" w:color="auto" w:fill="FFFFFF"/>
            <w:tcMar>
              <w:top w:w="0" w:type="dxa"/>
              <w:left w:w="0" w:type="dxa"/>
              <w:bottom w:w="0" w:type="dxa"/>
              <w:right w:w="0" w:type="dxa"/>
            </w:tcMar>
            <w:vAlign w:val="center"/>
          </w:tcPr>
          <w:p w14:paraId="3AF5DAC3"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w:t>
            </w:r>
          </w:p>
        </w:tc>
        <w:tc>
          <w:tcPr>
            <w:tcW w:w="385" w:type="pct"/>
            <w:shd w:val="clear" w:color="auto" w:fill="FFFFFF"/>
            <w:tcMar>
              <w:top w:w="0" w:type="dxa"/>
              <w:left w:w="0" w:type="dxa"/>
              <w:bottom w:w="0" w:type="dxa"/>
              <w:right w:w="0" w:type="dxa"/>
            </w:tcMar>
            <w:vAlign w:val="center"/>
          </w:tcPr>
          <w:p w14:paraId="04D64C40"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3</w:t>
            </w:r>
          </w:p>
        </w:tc>
        <w:tc>
          <w:tcPr>
            <w:tcW w:w="385" w:type="pct"/>
            <w:shd w:val="clear" w:color="auto" w:fill="FFFFFF"/>
            <w:tcMar>
              <w:top w:w="0" w:type="dxa"/>
              <w:left w:w="0" w:type="dxa"/>
              <w:bottom w:w="0" w:type="dxa"/>
              <w:right w:w="0" w:type="dxa"/>
            </w:tcMar>
            <w:vAlign w:val="center"/>
          </w:tcPr>
          <w:p w14:paraId="2C37EBD3"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w:t>
            </w:r>
          </w:p>
        </w:tc>
        <w:tc>
          <w:tcPr>
            <w:tcW w:w="385" w:type="pct"/>
            <w:shd w:val="clear" w:color="auto" w:fill="FFFFFF"/>
            <w:tcMar>
              <w:top w:w="0" w:type="dxa"/>
              <w:left w:w="0" w:type="dxa"/>
              <w:bottom w:w="0" w:type="dxa"/>
              <w:right w:w="0" w:type="dxa"/>
            </w:tcMar>
            <w:vAlign w:val="center"/>
          </w:tcPr>
          <w:p w14:paraId="785EB672"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0</w:t>
            </w:r>
          </w:p>
        </w:tc>
        <w:tc>
          <w:tcPr>
            <w:tcW w:w="385" w:type="pct"/>
            <w:shd w:val="clear" w:color="auto" w:fill="FFFFFF"/>
            <w:tcMar>
              <w:top w:w="0" w:type="dxa"/>
              <w:left w:w="0" w:type="dxa"/>
              <w:bottom w:w="0" w:type="dxa"/>
              <w:right w:w="0" w:type="dxa"/>
            </w:tcMar>
            <w:vAlign w:val="center"/>
          </w:tcPr>
          <w:p w14:paraId="648A277A"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0</w:t>
            </w:r>
          </w:p>
        </w:tc>
        <w:tc>
          <w:tcPr>
            <w:tcW w:w="385" w:type="pct"/>
            <w:shd w:val="clear" w:color="auto" w:fill="FFFFFF"/>
            <w:tcMar>
              <w:top w:w="0" w:type="dxa"/>
              <w:left w:w="0" w:type="dxa"/>
              <w:bottom w:w="0" w:type="dxa"/>
              <w:right w:w="0" w:type="dxa"/>
            </w:tcMar>
            <w:vAlign w:val="center"/>
          </w:tcPr>
          <w:p w14:paraId="23195B19"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0</w:t>
            </w:r>
          </w:p>
        </w:tc>
        <w:tc>
          <w:tcPr>
            <w:tcW w:w="385" w:type="pct"/>
            <w:shd w:val="clear" w:color="auto" w:fill="FFFFFF"/>
            <w:tcMar>
              <w:top w:w="0" w:type="dxa"/>
              <w:left w:w="0" w:type="dxa"/>
              <w:bottom w:w="0" w:type="dxa"/>
              <w:right w:w="0" w:type="dxa"/>
            </w:tcMar>
            <w:vAlign w:val="center"/>
          </w:tcPr>
          <w:p w14:paraId="1EC89784"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[z]</w:t>
            </w:r>
          </w:p>
        </w:tc>
      </w:tr>
      <w:tr w:rsidR="004C3088" w:rsidRPr="002556CC" w14:paraId="7AA9E084" w14:textId="77777777" w:rsidTr="002556CC">
        <w:trPr>
          <w:cantSplit/>
          <w:trHeight w:val="839"/>
          <w:jc w:val="center"/>
        </w:trPr>
        <w:tc>
          <w:tcPr>
            <w:tcW w:w="1538" w:type="pct"/>
            <w:shd w:val="clear" w:color="auto" w:fill="FFFFFF"/>
            <w:tcMar>
              <w:top w:w="0" w:type="dxa"/>
              <w:left w:w="0" w:type="dxa"/>
              <w:bottom w:w="0" w:type="dxa"/>
              <w:right w:w="0" w:type="dxa"/>
            </w:tcMar>
            <w:vAlign w:val="center"/>
          </w:tcPr>
          <w:p w14:paraId="34310B1E"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of which: Compulsory liquidations</w:t>
            </w:r>
          </w:p>
        </w:tc>
        <w:tc>
          <w:tcPr>
            <w:tcW w:w="385" w:type="pct"/>
            <w:shd w:val="clear" w:color="auto" w:fill="FFFFFF"/>
            <w:tcMar>
              <w:top w:w="0" w:type="dxa"/>
              <w:left w:w="0" w:type="dxa"/>
              <w:bottom w:w="0" w:type="dxa"/>
              <w:right w:w="0" w:type="dxa"/>
            </w:tcMar>
            <w:vAlign w:val="center"/>
          </w:tcPr>
          <w:p w14:paraId="588446CD"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596</w:t>
            </w:r>
          </w:p>
        </w:tc>
        <w:tc>
          <w:tcPr>
            <w:tcW w:w="385" w:type="pct"/>
            <w:shd w:val="clear" w:color="auto" w:fill="FFFFFF"/>
            <w:tcMar>
              <w:top w:w="0" w:type="dxa"/>
              <w:left w:w="0" w:type="dxa"/>
              <w:bottom w:w="0" w:type="dxa"/>
              <w:right w:w="0" w:type="dxa"/>
            </w:tcMar>
            <w:vAlign w:val="center"/>
          </w:tcPr>
          <w:p w14:paraId="659D1C8F"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558</w:t>
            </w:r>
          </w:p>
        </w:tc>
        <w:tc>
          <w:tcPr>
            <w:tcW w:w="385" w:type="pct"/>
            <w:shd w:val="clear" w:color="auto" w:fill="FFFFFF"/>
            <w:tcMar>
              <w:top w:w="0" w:type="dxa"/>
              <w:left w:w="0" w:type="dxa"/>
              <w:bottom w:w="0" w:type="dxa"/>
              <w:right w:w="0" w:type="dxa"/>
            </w:tcMar>
            <w:vAlign w:val="center"/>
          </w:tcPr>
          <w:p w14:paraId="575D7DFA"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548</w:t>
            </w:r>
          </w:p>
        </w:tc>
        <w:tc>
          <w:tcPr>
            <w:tcW w:w="385" w:type="pct"/>
            <w:shd w:val="clear" w:color="auto" w:fill="FFFFFF"/>
            <w:tcMar>
              <w:top w:w="0" w:type="dxa"/>
              <w:left w:w="0" w:type="dxa"/>
              <w:bottom w:w="0" w:type="dxa"/>
              <w:right w:w="0" w:type="dxa"/>
            </w:tcMar>
            <w:vAlign w:val="center"/>
          </w:tcPr>
          <w:p w14:paraId="38B6CC78"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601</w:t>
            </w:r>
          </w:p>
        </w:tc>
        <w:tc>
          <w:tcPr>
            <w:tcW w:w="385" w:type="pct"/>
            <w:shd w:val="clear" w:color="auto" w:fill="FFFFFF"/>
            <w:tcMar>
              <w:top w:w="0" w:type="dxa"/>
              <w:left w:w="0" w:type="dxa"/>
              <w:bottom w:w="0" w:type="dxa"/>
              <w:right w:w="0" w:type="dxa"/>
            </w:tcMar>
            <w:vAlign w:val="center"/>
          </w:tcPr>
          <w:p w14:paraId="57CED99B"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618</w:t>
            </w:r>
          </w:p>
        </w:tc>
        <w:tc>
          <w:tcPr>
            <w:tcW w:w="385" w:type="pct"/>
            <w:shd w:val="clear" w:color="auto" w:fill="FFFFFF"/>
            <w:tcMar>
              <w:top w:w="0" w:type="dxa"/>
              <w:left w:w="0" w:type="dxa"/>
              <w:bottom w:w="0" w:type="dxa"/>
              <w:right w:w="0" w:type="dxa"/>
            </w:tcMar>
            <w:vAlign w:val="center"/>
          </w:tcPr>
          <w:p w14:paraId="357EEA1F"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172</w:t>
            </w:r>
          </w:p>
        </w:tc>
        <w:tc>
          <w:tcPr>
            <w:tcW w:w="385" w:type="pct"/>
            <w:shd w:val="clear" w:color="auto" w:fill="FFFFFF"/>
            <w:tcMar>
              <w:top w:w="0" w:type="dxa"/>
              <w:left w:w="0" w:type="dxa"/>
              <w:bottom w:w="0" w:type="dxa"/>
              <w:right w:w="0" w:type="dxa"/>
            </w:tcMar>
            <w:vAlign w:val="center"/>
          </w:tcPr>
          <w:p w14:paraId="60E886CB"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154</w:t>
            </w:r>
          </w:p>
        </w:tc>
        <w:tc>
          <w:tcPr>
            <w:tcW w:w="385" w:type="pct"/>
            <w:shd w:val="clear" w:color="auto" w:fill="FFFFFF"/>
            <w:tcMar>
              <w:top w:w="0" w:type="dxa"/>
              <w:left w:w="0" w:type="dxa"/>
              <w:bottom w:w="0" w:type="dxa"/>
              <w:right w:w="0" w:type="dxa"/>
            </w:tcMar>
            <w:vAlign w:val="center"/>
          </w:tcPr>
          <w:p w14:paraId="53880A4A"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340</w:t>
            </w:r>
          </w:p>
        </w:tc>
        <w:tc>
          <w:tcPr>
            <w:tcW w:w="385" w:type="pct"/>
            <w:shd w:val="clear" w:color="auto" w:fill="FFFFFF"/>
            <w:tcMar>
              <w:top w:w="0" w:type="dxa"/>
              <w:left w:w="0" w:type="dxa"/>
              <w:bottom w:w="0" w:type="dxa"/>
              <w:right w:w="0" w:type="dxa"/>
            </w:tcMar>
            <w:vAlign w:val="center"/>
          </w:tcPr>
          <w:p w14:paraId="24FF8BFB"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120.8%</w:t>
            </w:r>
          </w:p>
        </w:tc>
      </w:tr>
      <w:tr w:rsidR="004C3088" w:rsidRPr="002556CC" w14:paraId="21D5C088" w14:textId="77777777" w:rsidTr="002556CC">
        <w:trPr>
          <w:cantSplit/>
          <w:trHeight w:val="839"/>
          <w:jc w:val="center"/>
        </w:trPr>
        <w:tc>
          <w:tcPr>
            <w:tcW w:w="1538" w:type="pct"/>
            <w:shd w:val="clear" w:color="auto" w:fill="FFFFFF"/>
            <w:tcMar>
              <w:top w:w="0" w:type="dxa"/>
              <w:left w:w="0" w:type="dxa"/>
              <w:bottom w:w="0" w:type="dxa"/>
              <w:right w:w="0" w:type="dxa"/>
            </w:tcMar>
            <w:vAlign w:val="center"/>
          </w:tcPr>
          <w:p w14:paraId="62171AF7"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of which: Creditors' voluntary liquidations</w:t>
            </w:r>
          </w:p>
        </w:tc>
        <w:tc>
          <w:tcPr>
            <w:tcW w:w="385" w:type="pct"/>
            <w:shd w:val="clear" w:color="auto" w:fill="FFFFFF"/>
            <w:tcMar>
              <w:top w:w="0" w:type="dxa"/>
              <w:left w:w="0" w:type="dxa"/>
              <w:bottom w:w="0" w:type="dxa"/>
              <w:right w:w="0" w:type="dxa"/>
            </w:tcMar>
            <w:vAlign w:val="center"/>
          </w:tcPr>
          <w:p w14:paraId="2B726F0A"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302</w:t>
            </w:r>
          </w:p>
        </w:tc>
        <w:tc>
          <w:tcPr>
            <w:tcW w:w="385" w:type="pct"/>
            <w:shd w:val="clear" w:color="auto" w:fill="FFFFFF"/>
            <w:tcMar>
              <w:top w:w="0" w:type="dxa"/>
              <w:left w:w="0" w:type="dxa"/>
              <w:bottom w:w="0" w:type="dxa"/>
              <w:right w:w="0" w:type="dxa"/>
            </w:tcMar>
            <w:vAlign w:val="center"/>
          </w:tcPr>
          <w:p w14:paraId="601AAF64"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283</w:t>
            </w:r>
          </w:p>
        </w:tc>
        <w:tc>
          <w:tcPr>
            <w:tcW w:w="385" w:type="pct"/>
            <w:shd w:val="clear" w:color="auto" w:fill="FFFFFF"/>
            <w:tcMar>
              <w:top w:w="0" w:type="dxa"/>
              <w:left w:w="0" w:type="dxa"/>
              <w:bottom w:w="0" w:type="dxa"/>
              <w:right w:w="0" w:type="dxa"/>
            </w:tcMar>
            <w:vAlign w:val="center"/>
          </w:tcPr>
          <w:p w14:paraId="7AC78A95"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335</w:t>
            </w:r>
          </w:p>
        </w:tc>
        <w:tc>
          <w:tcPr>
            <w:tcW w:w="385" w:type="pct"/>
            <w:shd w:val="clear" w:color="auto" w:fill="FFFFFF"/>
            <w:tcMar>
              <w:top w:w="0" w:type="dxa"/>
              <w:left w:w="0" w:type="dxa"/>
              <w:bottom w:w="0" w:type="dxa"/>
              <w:right w:w="0" w:type="dxa"/>
            </w:tcMar>
            <w:vAlign w:val="center"/>
          </w:tcPr>
          <w:p w14:paraId="541C6E9D"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363</w:t>
            </w:r>
          </w:p>
        </w:tc>
        <w:tc>
          <w:tcPr>
            <w:tcW w:w="385" w:type="pct"/>
            <w:shd w:val="clear" w:color="auto" w:fill="FFFFFF"/>
            <w:tcMar>
              <w:top w:w="0" w:type="dxa"/>
              <w:left w:w="0" w:type="dxa"/>
              <w:bottom w:w="0" w:type="dxa"/>
              <w:right w:w="0" w:type="dxa"/>
            </w:tcMar>
            <w:vAlign w:val="center"/>
          </w:tcPr>
          <w:p w14:paraId="61CC59DF"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329</w:t>
            </w:r>
          </w:p>
        </w:tc>
        <w:tc>
          <w:tcPr>
            <w:tcW w:w="385" w:type="pct"/>
            <w:shd w:val="clear" w:color="auto" w:fill="FFFFFF"/>
            <w:tcMar>
              <w:top w:w="0" w:type="dxa"/>
              <w:left w:w="0" w:type="dxa"/>
              <w:bottom w:w="0" w:type="dxa"/>
              <w:right w:w="0" w:type="dxa"/>
            </w:tcMar>
            <w:vAlign w:val="center"/>
          </w:tcPr>
          <w:p w14:paraId="77A09BDF"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270</w:t>
            </w:r>
          </w:p>
        </w:tc>
        <w:tc>
          <w:tcPr>
            <w:tcW w:w="385" w:type="pct"/>
            <w:shd w:val="clear" w:color="auto" w:fill="FFFFFF"/>
            <w:tcMar>
              <w:top w:w="0" w:type="dxa"/>
              <w:left w:w="0" w:type="dxa"/>
              <w:bottom w:w="0" w:type="dxa"/>
              <w:right w:w="0" w:type="dxa"/>
            </w:tcMar>
            <w:vAlign w:val="center"/>
          </w:tcPr>
          <w:p w14:paraId="6788AE60"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700</w:t>
            </w:r>
          </w:p>
        </w:tc>
        <w:tc>
          <w:tcPr>
            <w:tcW w:w="385" w:type="pct"/>
            <w:shd w:val="clear" w:color="auto" w:fill="FFFFFF"/>
            <w:tcMar>
              <w:top w:w="0" w:type="dxa"/>
              <w:left w:w="0" w:type="dxa"/>
              <w:bottom w:w="0" w:type="dxa"/>
              <w:right w:w="0" w:type="dxa"/>
            </w:tcMar>
            <w:vAlign w:val="center"/>
          </w:tcPr>
          <w:p w14:paraId="0196762A"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792</w:t>
            </w:r>
          </w:p>
        </w:tc>
        <w:tc>
          <w:tcPr>
            <w:tcW w:w="385" w:type="pct"/>
            <w:shd w:val="clear" w:color="auto" w:fill="FFFFFF"/>
            <w:tcMar>
              <w:top w:w="0" w:type="dxa"/>
              <w:left w:w="0" w:type="dxa"/>
              <w:bottom w:w="0" w:type="dxa"/>
              <w:right w:w="0" w:type="dxa"/>
            </w:tcMar>
            <w:vAlign w:val="center"/>
          </w:tcPr>
          <w:p w14:paraId="043FE235"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13.1%</w:t>
            </w:r>
          </w:p>
        </w:tc>
      </w:tr>
      <w:tr w:rsidR="004C3088" w:rsidRPr="002556CC" w14:paraId="0675DF3F" w14:textId="77777777" w:rsidTr="002556CC">
        <w:trPr>
          <w:cantSplit/>
          <w:trHeight w:val="839"/>
          <w:jc w:val="center"/>
        </w:trPr>
        <w:tc>
          <w:tcPr>
            <w:tcW w:w="1538" w:type="pct"/>
            <w:shd w:val="clear" w:color="auto" w:fill="FFFFFF"/>
            <w:tcMar>
              <w:top w:w="0" w:type="dxa"/>
              <w:left w:w="0" w:type="dxa"/>
              <w:bottom w:w="0" w:type="dxa"/>
              <w:right w:w="0" w:type="dxa"/>
            </w:tcMar>
            <w:vAlign w:val="center"/>
          </w:tcPr>
          <w:p w14:paraId="2047E600"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b/>
                <w:color w:val="111111"/>
                <w:sz w:val="22"/>
                <w:szCs w:val="22"/>
              </w:rPr>
              <w:t>Members' voluntary liquidations</w:t>
            </w:r>
          </w:p>
        </w:tc>
        <w:tc>
          <w:tcPr>
            <w:tcW w:w="385" w:type="pct"/>
            <w:shd w:val="clear" w:color="auto" w:fill="FFFFFF"/>
            <w:tcMar>
              <w:top w:w="0" w:type="dxa"/>
              <w:left w:w="0" w:type="dxa"/>
              <w:bottom w:w="0" w:type="dxa"/>
              <w:right w:w="0" w:type="dxa"/>
            </w:tcMar>
            <w:vAlign w:val="center"/>
          </w:tcPr>
          <w:p w14:paraId="014F5838"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810</w:t>
            </w:r>
          </w:p>
        </w:tc>
        <w:tc>
          <w:tcPr>
            <w:tcW w:w="385" w:type="pct"/>
            <w:shd w:val="clear" w:color="auto" w:fill="FFFFFF"/>
            <w:tcMar>
              <w:top w:w="0" w:type="dxa"/>
              <w:left w:w="0" w:type="dxa"/>
              <w:bottom w:w="0" w:type="dxa"/>
              <w:right w:w="0" w:type="dxa"/>
            </w:tcMar>
            <w:vAlign w:val="center"/>
          </w:tcPr>
          <w:p w14:paraId="5BF81FBE"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597</w:t>
            </w:r>
          </w:p>
        </w:tc>
        <w:tc>
          <w:tcPr>
            <w:tcW w:w="385" w:type="pct"/>
            <w:shd w:val="clear" w:color="auto" w:fill="FFFFFF"/>
            <w:tcMar>
              <w:top w:w="0" w:type="dxa"/>
              <w:left w:w="0" w:type="dxa"/>
              <w:bottom w:w="0" w:type="dxa"/>
              <w:right w:w="0" w:type="dxa"/>
            </w:tcMar>
            <w:vAlign w:val="center"/>
          </w:tcPr>
          <w:p w14:paraId="58E6917B"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533</w:t>
            </w:r>
          </w:p>
        </w:tc>
        <w:tc>
          <w:tcPr>
            <w:tcW w:w="385" w:type="pct"/>
            <w:shd w:val="clear" w:color="auto" w:fill="FFFFFF"/>
            <w:tcMar>
              <w:top w:w="0" w:type="dxa"/>
              <w:left w:w="0" w:type="dxa"/>
              <w:bottom w:w="0" w:type="dxa"/>
              <w:right w:w="0" w:type="dxa"/>
            </w:tcMar>
            <w:vAlign w:val="center"/>
          </w:tcPr>
          <w:p w14:paraId="2067F407"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507</w:t>
            </w:r>
          </w:p>
        </w:tc>
        <w:tc>
          <w:tcPr>
            <w:tcW w:w="385" w:type="pct"/>
            <w:shd w:val="clear" w:color="auto" w:fill="FFFFFF"/>
            <w:tcMar>
              <w:top w:w="0" w:type="dxa"/>
              <w:left w:w="0" w:type="dxa"/>
              <w:bottom w:w="0" w:type="dxa"/>
              <w:right w:w="0" w:type="dxa"/>
            </w:tcMar>
            <w:vAlign w:val="center"/>
          </w:tcPr>
          <w:p w14:paraId="4F0969F0"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705</w:t>
            </w:r>
          </w:p>
        </w:tc>
        <w:tc>
          <w:tcPr>
            <w:tcW w:w="385" w:type="pct"/>
            <w:shd w:val="clear" w:color="auto" w:fill="FFFFFF"/>
            <w:tcMar>
              <w:top w:w="0" w:type="dxa"/>
              <w:left w:w="0" w:type="dxa"/>
              <w:bottom w:w="0" w:type="dxa"/>
              <w:right w:w="0" w:type="dxa"/>
            </w:tcMar>
            <w:vAlign w:val="center"/>
          </w:tcPr>
          <w:p w14:paraId="3731FB46"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879</w:t>
            </w:r>
          </w:p>
        </w:tc>
        <w:tc>
          <w:tcPr>
            <w:tcW w:w="385" w:type="pct"/>
            <w:shd w:val="clear" w:color="auto" w:fill="FFFFFF"/>
            <w:tcMar>
              <w:top w:w="0" w:type="dxa"/>
              <w:left w:w="0" w:type="dxa"/>
              <w:bottom w:w="0" w:type="dxa"/>
              <w:right w:w="0" w:type="dxa"/>
            </w:tcMar>
            <w:vAlign w:val="center"/>
          </w:tcPr>
          <w:p w14:paraId="1381732A"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717</w:t>
            </w:r>
          </w:p>
        </w:tc>
        <w:tc>
          <w:tcPr>
            <w:tcW w:w="385" w:type="pct"/>
            <w:shd w:val="clear" w:color="auto" w:fill="FFFFFF"/>
            <w:tcMar>
              <w:top w:w="0" w:type="dxa"/>
              <w:left w:w="0" w:type="dxa"/>
              <w:bottom w:w="0" w:type="dxa"/>
              <w:right w:w="0" w:type="dxa"/>
            </w:tcMar>
            <w:vAlign w:val="center"/>
          </w:tcPr>
          <w:p w14:paraId="682BD7B7"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632</w:t>
            </w:r>
          </w:p>
        </w:tc>
        <w:tc>
          <w:tcPr>
            <w:tcW w:w="385" w:type="pct"/>
            <w:shd w:val="clear" w:color="auto" w:fill="FFFFFF"/>
            <w:tcMar>
              <w:top w:w="0" w:type="dxa"/>
              <w:left w:w="0" w:type="dxa"/>
              <w:bottom w:w="0" w:type="dxa"/>
              <w:right w:w="0" w:type="dxa"/>
            </w:tcMar>
            <w:vAlign w:val="center"/>
          </w:tcPr>
          <w:p w14:paraId="74FF6FED"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-11.9%</w:t>
            </w:r>
          </w:p>
        </w:tc>
      </w:tr>
      <w:tr w:rsidR="004C3088" w:rsidRPr="002556CC" w14:paraId="34EC299D" w14:textId="77777777" w:rsidTr="002556CC">
        <w:trPr>
          <w:cantSplit/>
          <w:trHeight w:val="839"/>
          <w:jc w:val="center"/>
        </w:trPr>
        <w:tc>
          <w:tcPr>
            <w:tcW w:w="5000" w:type="pct"/>
            <w:gridSpan w:val="10"/>
            <w:tcBorders>
              <w:top w:val="single" w:sz="8" w:space="0" w:color="BEBEBE"/>
            </w:tcBorders>
            <w:shd w:val="clear" w:color="auto" w:fill="FFFFFF"/>
            <w:tcMar>
              <w:top w:w="0" w:type="dxa"/>
              <w:left w:w="0" w:type="dxa"/>
              <w:bottom w:w="0" w:type="dxa"/>
              <w:right w:w="0" w:type="dxa"/>
            </w:tcMar>
            <w:vAlign w:val="center"/>
          </w:tcPr>
          <w:p w14:paraId="73022902" w14:textId="77777777" w:rsidR="004C3088" w:rsidRPr="002556CC" w:rsidRDefault="002556CC">
            <w:pPr>
              <w:spacing w:after="0"/>
              <w:rPr>
                <w:rFonts w:ascii="Arial" w:hAnsi="Arial" w:cs="Arial"/>
                <w:sz w:val="22"/>
                <w:szCs w:val="22"/>
              </w:rPr>
            </w:pPr>
            <w:r w:rsidRPr="002556CC">
              <w:rPr>
                <w:rFonts w:ascii="Arial" w:eastAsia="Arial" w:hAnsi="Arial" w:cs="Arial"/>
                <w:color w:val="000000"/>
                <w:sz w:val="22"/>
                <w:szCs w:val="22"/>
              </w:rPr>
              <w:t>Source: Accountant in Bankruptcy</w:t>
            </w:r>
          </w:p>
        </w:tc>
      </w:tr>
    </w:tbl>
    <w:p w14:paraId="6305377C" w14:textId="77777777" w:rsidR="004C3088" w:rsidRDefault="004C3088">
      <w:pPr>
        <w:pStyle w:val="BodyText"/>
      </w:pPr>
    </w:p>
    <w:p w14:paraId="5A2E8CE0" w14:textId="77777777" w:rsidR="004C3088" w:rsidRDefault="002556CC">
      <w:pPr>
        <w:pStyle w:val="BodyText"/>
      </w:pPr>
      <w:r>
        <w:t>In 2022-23, AiB also recorded 632 members’ voluntary liquidations compared with 717 in 2021-22. Members’ voluntary liquidations are not a form of insolvency.</w:t>
      </w:r>
    </w:p>
    <w:p w14:paraId="46DF5EBE" w14:textId="77777777" w:rsidR="004C3088" w:rsidRDefault="002556CC">
      <w:pPr>
        <w:pStyle w:val="BodyText"/>
      </w:pPr>
      <w:r>
        <w:t>Chart 7 shows the levels of corporate insolvency compared with members’ volutary liquidations.</w:t>
      </w:r>
    </w:p>
    <w:p w14:paraId="0242720C" w14:textId="77777777" w:rsidR="004C3088" w:rsidRDefault="004C3088">
      <w:pPr>
        <w:pStyle w:val="BodyText"/>
      </w:pPr>
    </w:p>
    <w:p w14:paraId="4A1DF3BA" w14:textId="77777777" w:rsidR="004C3088" w:rsidRDefault="002556CC">
      <w:pPr>
        <w:pStyle w:val="CaptionedFigure"/>
      </w:pPr>
      <w:r>
        <w:rPr>
          <w:noProof/>
        </w:rPr>
        <w:drawing>
          <wp:inline distT="0" distB="0" distL="0" distR="0" wp14:anchorId="6BB8A734" wp14:editId="25F379C4">
            <wp:extent cx="5943600" cy="4242598"/>
            <wp:effectExtent l="0" t="0" r="0" b="0"/>
            <wp:docPr id="25" name="Picture" descr="Chart 7 shows the number of corporate insolvencies and members voluntary liquidations from 2015-16 to 2022-23. This chart shows that current levels of corporate insolvencies are greater than pre-COVID levels."/>
            <wp:cNvGraphicFramePr/>
            <a:graphic xmlns:a="http://schemas.openxmlformats.org/drawingml/2006/main">
              <a:graphicData uri="http://schemas.openxmlformats.org/drawingml/2006/picture">
                <pic:pic xmlns:pic="http://schemas.openxmlformats.org/drawingml/2006/picture">
                  <pic:nvPicPr>
                    <pic:cNvPr id="26" name="Picture" descr="_pub_chart_7_plot.png"/>
                    <pic:cNvPicPr>
                      <a:picLocks noChangeAspect="1" noChangeArrowheads="1"/>
                    </pic:cNvPicPr>
                  </pic:nvPicPr>
                  <pic:blipFill>
                    <a:blip r:embed="rId30"/>
                    <a:stretch>
                      <a:fillRect/>
                    </a:stretch>
                  </pic:blipFill>
                  <pic:spPr bwMode="auto">
                    <a:xfrm>
                      <a:off x="0" y="0"/>
                      <a:ext cx="5943600" cy="4242598"/>
                    </a:xfrm>
                    <a:prstGeom prst="rect">
                      <a:avLst/>
                    </a:prstGeom>
                    <a:noFill/>
                    <a:ln w="9525">
                      <a:noFill/>
                      <a:headEnd/>
                      <a:tailEnd/>
                    </a:ln>
                  </pic:spPr>
                </pic:pic>
              </a:graphicData>
            </a:graphic>
          </wp:inline>
        </w:drawing>
      </w:r>
    </w:p>
    <w:p w14:paraId="219FCFD8" w14:textId="77777777" w:rsidR="004C3088" w:rsidRDefault="002556CC">
      <w:pPr>
        <w:pStyle w:val="BodyText"/>
      </w:pPr>
      <w:r>
        <w:t>AiB does not publish statistics on the number of company voluntary arrangements or administrations, which are a reserved matter for the UK Government. These statistics are available from The Insolvency Service.</w:t>
      </w:r>
    </w:p>
    <w:p w14:paraId="0AF5598E" w14:textId="77777777" w:rsidR="004C3088" w:rsidRDefault="004C3088">
      <w:pPr>
        <w:pStyle w:val="BodyText"/>
      </w:pPr>
    </w:p>
    <w:p w14:paraId="01794607" w14:textId="77777777" w:rsidR="004C3088" w:rsidRDefault="002556CC">
      <w:pPr>
        <w:pStyle w:val="Heading2"/>
      </w:pPr>
      <w:bookmarkStart w:id="30" w:name="X7cfed6d92d0eec596e98e4613017c708d5f5e45"/>
      <w:bookmarkStart w:id="31" w:name="_Toc142064475"/>
      <w:r>
        <w:t>Average debt level by type of debt solutions</w:t>
      </w:r>
      <w:bookmarkEnd w:id="30"/>
      <w:bookmarkEnd w:id="31"/>
    </w:p>
    <w:p w14:paraId="248018D1" w14:textId="77777777" w:rsidR="004C3088" w:rsidRDefault="002556CC">
      <w:pPr>
        <w:pStyle w:val="FirstParagraph"/>
      </w:pPr>
      <w:r>
        <w:t>Table 11 below shows the median (average) debt level by financial year and type of debt solution. In 2022-23, the debt of a typical petition, MAP, full administration, PTD, and DAS respectively is £14,900, £12,000, £30,600, £16,400 and £13,200. The debt level for each debt solution remains fairly stable over time since 2015-16, with the exception of petitions where the minimum debt level was raised to £10,000 under the Coronavirus (Scotland) (No. 2) Act 2020 which came into force on 27 May 2020. This minimum debt level was then permanently set at £5,000 on 01 October 2022 through the Coronavirus (Recovery and Reform) (Scotland) Act.</w:t>
      </w:r>
    </w:p>
    <w:p w14:paraId="6144CC16" w14:textId="77777777" w:rsidR="004C3088" w:rsidRDefault="004C3088">
      <w:pPr>
        <w:pStyle w:val="BodyText"/>
      </w:pPr>
    </w:p>
    <w:tbl>
      <w:tblPr>
        <w:tblW w:w="5718" w:type="pct"/>
        <w:jc w:val="center"/>
        <w:tblLayout w:type="fixed"/>
        <w:tblLook w:val="04A0" w:firstRow="1" w:lastRow="0" w:firstColumn="1" w:lastColumn="0" w:noHBand="0" w:noVBand="1"/>
      </w:tblPr>
      <w:tblGrid>
        <w:gridCol w:w="2213"/>
        <w:gridCol w:w="935"/>
        <w:gridCol w:w="935"/>
        <w:gridCol w:w="935"/>
        <w:gridCol w:w="936"/>
        <w:gridCol w:w="936"/>
        <w:gridCol w:w="936"/>
        <w:gridCol w:w="936"/>
        <w:gridCol w:w="936"/>
        <w:gridCol w:w="1006"/>
      </w:tblGrid>
      <w:tr w:rsidR="004C3088" w:rsidRPr="002556CC" w14:paraId="613FA2A0" w14:textId="77777777" w:rsidTr="002556CC">
        <w:trPr>
          <w:cantSplit/>
          <w:trHeight w:hRule="exact" w:val="1134"/>
          <w:tblHeader/>
          <w:jc w:val="center"/>
        </w:trPr>
        <w:tc>
          <w:tcPr>
            <w:tcW w:w="1034" w:type="pct"/>
            <w:tcBorders>
              <w:bottom w:val="single" w:sz="8" w:space="0" w:color="BEBEBE"/>
            </w:tcBorders>
            <w:shd w:val="clear" w:color="auto" w:fill="FFFFFF"/>
            <w:tcMar>
              <w:top w:w="0" w:type="dxa"/>
              <w:left w:w="0" w:type="dxa"/>
              <w:bottom w:w="0" w:type="dxa"/>
              <w:right w:w="0" w:type="dxa"/>
            </w:tcMar>
            <w:vAlign w:val="center"/>
          </w:tcPr>
          <w:p w14:paraId="27565C3F"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b/>
                <w:color w:val="111111"/>
                <w:sz w:val="22"/>
                <w:szCs w:val="22"/>
              </w:rPr>
              <w:t>Financial year of the awarded/protected/approved date</w:t>
            </w:r>
          </w:p>
        </w:tc>
        <w:tc>
          <w:tcPr>
            <w:tcW w:w="437" w:type="pct"/>
            <w:tcBorders>
              <w:bottom w:val="single" w:sz="8" w:space="0" w:color="BEBEBE"/>
            </w:tcBorders>
            <w:shd w:val="clear" w:color="auto" w:fill="FFFFFF"/>
            <w:tcMar>
              <w:top w:w="0" w:type="dxa"/>
              <w:left w:w="0" w:type="dxa"/>
              <w:bottom w:w="0" w:type="dxa"/>
              <w:right w:w="0" w:type="dxa"/>
            </w:tcMar>
            <w:vAlign w:val="center"/>
          </w:tcPr>
          <w:p w14:paraId="371D9C6D"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2015-16</w:t>
            </w:r>
          </w:p>
        </w:tc>
        <w:tc>
          <w:tcPr>
            <w:tcW w:w="437" w:type="pct"/>
            <w:tcBorders>
              <w:bottom w:val="single" w:sz="8" w:space="0" w:color="BEBEBE"/>
            </w:tcBorders>
            <w:shd w:val="clear" w:color="auto" w:fill="FFFFFF"/>
            <w:tcMar>
              <w:top w:w="0" w:type="dxa"/>
              <w:left w:w="0" w:type="dxa"/>
              <w:bottom w:w="0" w:type="dxa"/>
              <w:right w:w="0" w:type="dxa"/>
            </w:tcMar>
            <w:vAlign w:val="center"/>
          </w:tcPr>
          <w:p w14:paraId="0606DCA4"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2016-17</w:t>
            </w:r>
          </w:p>
        </w:tc>
        <w:tc>
          <w:tcPr>
            <w:tcW w:w="437" w:type="pct"/>
            <w:tcBorders>
              <w:bottom w:val="single" w:sz="8" w:space="0" w:color="BEBEBE"/>
            </w:tcBorders>
            <w:shd w:val="clear" w:color="auto" w:fill="FFFFFF"/>
            <w:tcMar>
              <w:top w:w="0" w:type="dxa"/>
              <w:left w:w="0" w:type="dxa"/>
              <w:bottom w:w="0" w:type="dxa"/>
              <w:right w:w="0" w:type="dxa"/>
            </w:tcMar>
            <w:vAlign w:val="center"/>
          </w:tcPr>
          <w:p w14:paraId="504B274A"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2017-18</w:t>
            </w:r>
          </w:p>
        </w:tc>
        <w:tc>
          <w:tcPr>
            <w:tcW w:w="437" w:type="pct"/>
            <w:tcBorders>
              <w:bottom w:val="single" w:sz="8" w:space="0" w:color="BEBEBE"/>
            </w:tcBorders>
            <w:shd w:val="clear" w:color="auto" w:fill="FFFFFF"/>
            <w:tcMar>
              <w:top w:w="0" w:type="dxa"/>
              <w:left w:w="0" w:type="dxa"/>
              <w:bottom w:w="0" w:type="dxa"/>
              <w:right w:w="0" w:type="dxa"/>
            </w:tcMar>
            <w:vAlign w:val="center"/>
          </w:tcPr>
          <w:p w14:paraId="6E2F260F"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2018-19</w:t>
            </w:r>
          </w:p>
        </w:tc>
        <w:tc>
          <w:tcPr>
            <w:tcW w:w="437" w:type="pct"/>
            <w:tcBorders>
              <w:bottom w:val="single" w:sz="8" w:space="0" w:color="BEBEBE"/>
            </w:tcBorders>
            <w:shd w:val="clear" w:color="auto" w:fill="FFFFFF"/>
            <w:tcMar>
              <w:top w:w="0" w:type="dxa"/>
              <w:left w:w="0" w:type="dxa"/>
              <w:bottom w:w="0" w:type="dxa"/>
              <w:right w:w="0" w:type="dxa"/>
            </w:tcMar>
            <w:vAlign w:val="center"/>
          </w:tcPr>
          <w:p w14:paraId="21D40809"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2019-20</w:t>
            </w:r>
          </w:p>
        </w:tc>
        <w:tc>
          <w:tcPr>
            <w:tcW w:w="437" w:type="pct"/>
            <w:tcBorders>
              <w:bottom w:val="single" w:sz="8" w:space="0" w:color="BEBEBE"/>
            </w:tcBorders>
            <w:shd w:val="clear" w:color="auto" w:fill="FFFFFF"/>
            <w:tcMar>
              <w:top w:w="0" w:type="dxa"/>
              <w:left w:w="0" w:type="dxa"/>
              <w:bottom w:w="0" w:type="dxa"/>
              <w:right w:w="0" w:type="dxa"/>
            </w:tcMar>
            <w:vAlign w:val="center"/>
          </w:tcPr>
          <w:p w14:paraId="5E44FB0A"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2020-21</w:t>
            </w:r>
          </w:p>
        </w:tc>
        <w:tc>
          <w:tcPr>
            <w:tcW w:w="437" w:type="pct"/>
            <w:tcBorders>
              <w:bottom w:val="single" w:sz="8" w:space="0" w:color="BEBEBE"/>
            </w:tcBorders>
            <w:shd w:val="clear" w:color="auto" w:fill="FFFFFF"/>
            <w:tcMar>
              <w:top w:w="0" w:type="dxa"/>
              <w:left w:w="0" w:type="dxa"/>
              <w:bottom w:w="0" w:type="dxa"/>
              <w:right w:w="0" w:type="dxa"/>
            </w:tcMar>
            <w:vAlign w:val="center"/>
          </w:tcPr>
          <w:p w14:paraId="175F8A33"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2021-22</w:t>
            </w:r>
          </w:p>
        </w:tc>
        <w:tc>
          <w:tcPr>
            <w:tcW w:w="437" w:type="pct"/>
            <w:tcBorders>
              <w:bottom w:val="single" w:sz="8" w:space="0" w:color="BEBEBE"/>
            </w:tcBorders>
            <w:shd w:val="clear" w:color="auto" w:fill="FFFFFF"/>
            <w:tcMar>
              <w:top w:w="0" w:type="dxa"/>
              <w:left w:w="0" w:type="dxa"/>
              <w:bottom w:w="0" w:type="dxa"/>
              <w:right w:w="0" w:type="dxa"/>
            </w:tcMar>
            <w:vAlign w:val="center"/>
          </w:tcPr>
          <w:p w14:paraId="474578A7"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2022-23</w:t>
            </w:r>
          </w:p>
        </w:tc>
        <w:tc>
          <w:tcPr>
            <w:tcW w:w="469" w:type="pct"/>
            <w:tcBorders>
              <w:bottom w:val="single" w:sz="8" w:space="0" w:color="BEBEBE"/>
            </w:tcBorders>
            <w:shd w:val="clear" w:color="auto" w:fill="FFFFFF"/>
            <w:tcMar>
              <w:top w:w="0" w:type="dxa"/>
              <w:left w:w="0" w:type="dxa"/>
              <w:bottom w:w="0" w:type="dxa"/>
              <w:right w:w="0" w:type="dxa"/>
            </w:tcMar>
            <w:vAlign w:val="center"/>
          </w:tcPr>
          <w:p w14:paraId="4F328C5D"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b/>
                <w:color w:val="111111"/>
                <w:sz w:val="22"/>
                <w:szCs w:val="22"/>
              </w:rPr>
              <w:t>Annual change (%)</w:t>
            </w:r>
          </w:p>
        </w:tc>
      </w:tr>
      <w:tr w:rsidR="004C3088" w:rsidRPr="002556CC" w14:paraId="2E578ED0" w14:textId="77777777" w:rsidTr="002556CC">
        <w:trPr>
          <w:cantSplit/>
          <w:trHeight w:hRule="exact" w:val="720"/>
          <w:jc w:val="center"/>
        </w:trPr>
        <w:tc>
          <w:tcPr>
            <w:tcW w:w="1034" w:type="pct"/>
            <w:shd w:val="clear" w:color="auto" w:fill="FFFFFF"/>
            <w:tcMar>
              <w:top w:w="0" w:type="dxa"/>
              <w:left w:w="0" w:type="dxa"/>
              <w:bottom w:w="0" w:type="dxa"/>
              <w:right w:w="0" w:type="dxa"/>
            </w:tcMar>
            <w:vAlign w:val="center"/>
          </w:tcPr>
          <w:p w14:paraId="614EC1F8"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Bankruptcy: Creditor petition (£)</w:t>
            </w:r>
          </w:p>
        </w:tc>
        <w:tc>
          <w:tcPr>
            <w:tcW w:w="437" w:type="pct"/>
            <w:shd w:val="clear" w:color="auto" w:fill="FFFFFF"/>
            <w:tcMar>
              <w:top w:w="0" w:type="dxa"/>
              <w:left w:w="0" w:type="dxa"/>
              <w:bottom w:w="0" w:type="dxa"/>
              <w:right w:w="0" w:type="dxa"/>
            </w:tcMar>
            <w:vAlign w:val="center"/>
          </w:tcPr>
          <w:p w14:paraId="25742BE0"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[x]</w:t>
            </w:r>
          </w:p>
        </w:tc>
        <w:tc>
          <w:tcPr>
            <w:tcW w:w="437" w:type="pct"/>
            <w:shd w:val="clear" w:color="auto" w:fill="FFFFFF"/>
            <w:tcMar>
              <w:top w:w="0" w:type="dxa"/>
              <w:left w:w="0" w:type="dxa"/>
              <w:bottom w:w="0" w:type="dxa"/>
              <w:right w:w="0" w:type="dxa"/>
            </w:tcMar>
            <w:vAlign w:val="center"/>
          </w:tcPr>
          <w:p w14:paraId="74C3EF9D"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[x]</w:t>
            </w:r>
          </w:p>
        </w:tc>
        <w:tc>
          <w:tcPr>
            <w:tcW w:w="437" w:type="pct"/>
            <w:shd w:val="clear" w:color="auto" w:fill="FFFFFF"/>
            <w:tcMar>
              <w:top w:w="0" w:type="dxa"/>
              <w:left w:w="0" w:type="dxa"/>
              <w:bottom w:w="0" w:type="dxa"/>
              <w:right w:w="0" w:type="dxa"/>
            </w:tcMar>
            <w:vAlign w:val="center"/>
          </w:tcPr>
          <w:p w14:paraId="1BCC3F91"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[x]</w:t>
            </w:r>
          </w:p>
        </w:tc>
        <w:tc>
          <w:tcPr>
            <w:tcW w:w="437" w:type="pct"/>
            <w:shd w:val="clear" w:color="auto" w:fill="FFFFFF"/>
            <w:tcMar>
              <w:top w:w="0" w:type="dxa"/>
              <w:left w:w="0" w:type="dxa"/>
              <w:bottom w:w="0" w:type="dxa"/>
              <w:right w:w="0" w:type="dxa"/>
            </w:tcMar>
            <w:vAlign w:val="center"/>
          </w:tcPr>
          <w:p w14:paraId="05AF55F3"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10,100</w:t>
            </w:r>
          </w:p>
        </w:tc>
        <w:tc>
          <w:tcPr>
            <w:tcW w:w="437" w:type="pct"/>
            <w:shd w:val="clear" w:color="auto" w:fill="FFFFFF"/>
            <w:tcMar>
              <w:top w:w="0" w:type="dxa"/>
              <w:left w:w="0" w:type="dxa"/>
              <w:bottom w:w="0" w:type="dxa"/>
              <w:right w:w="0" w:type="dxa"/>
            </w:tcMar>
            <w:vAlign w:val="center"/>
          </w:tcPr>
          <w:p w14:paraId="32810E90"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11,400</w:t>
            </w:r>
          </w:p>
        </w:tc>
        <w:tc>
          <w:tcPr>
            <w:tcW w:w="437" w:type="pct"/>
            <w:shd w:val="clear" w:color="auto" w:fill="FFFFFF"/>
            <w:tcMar>
              <w:top w:w="0" w:type="dxa"/>
              <w:left w:w="0" w:type="dxa"/>
              <w:bottom w:w="0" w:type="dxa"/>
              <w:right w:w="0" w:type="dxa"/>
            </w:tcMar>
            <w:vAlign w:val="center"/>
          </w:tcPr>
          <w:p w14:paraId="1C188880"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10,000</w:t>
            </w:r>
          </w:p>
        </w:tc>
        <w:tc>
          <w:tcPr>
            <w:tcW w:w="437" w:type="pct"/>
            <w:shd w:val="clear" w:color="auto" w:fill="FFFFFF"/>
            <w:tcMar>
              <w:top w:w="0" w:type="dxa"/>
              <w:left w:w="0" w:type="dxa"/>
              <w:bottom w:w="0" w:type="dxa"/>
              <w:right w:w="0" w:type="dxa"/>
            </w:tcMar>
            <w:vAlign w:val="center"/>
          </w:tcPr>
          <w:p w14:paraId="74395656"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17,500</w:t>
            </w:r>
          </w:p>
        </w:tc>
        <w:tc>
          <w:tcPr>
            <w:tcW w:w="437" w:type="pct"/>
            <w:shd w:val="clear" w:color="auto" w:fill="FFFFFF"/>
            <w:tcMar>
              <w:top w:w="0" w:type="dxa"/>
              <w:left w:w="0" w:type="dxa"/>
              <w:bottom w:w="0" w:type="dxa"/>
              <w:right w:w="0" w:type="dxa"/>
            </w:tcMar>
            <w:vAlign w:val="center"/>
          </w:tcPr>
          <w:p w14:paraId="56B21827"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14,900</w:t>
            </w:r>
          </w:p>
        </w:tc>
        <w:tc>
          <w:tcPr>
            <w:tcW w:w="469" w:type="pct"/>
            <w:shd w:val="clear" w:color="auto" w:fill="FFFFFF"/>
            <w:tcMar>
              <w:top w:w="0" w:type="dxa"/>
              <w:left w:w="0" w:type="dxa"/>
              <w:bottom w:w="0" w:type="dxa"/>
              <w:right w:w="0" w:type="dxa"/>
            </w:tcMar>
            <w:vAlign w:val="center"/>
          </w:tcPr>
          <w:p w14:paraId="09557433"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-14.9%</w:t>
            </w:r>
          </w:p>
        </w:tc>
      </w:tr>
      <w:tr w:rsidR="004C3088" w:rsidRPr="002556CC" w14:paraId="1DD953F2" w14:textId="77777777" w:rsidTr="002556CC">
        <w:trPr>
          <w:cantSplit/>
          <w:trHeight w:hRule="exact" w:val="720"/>
          <w:jc w:val="center"/>
        </w:trPr>
        <w:tc>
          <w:tcPr>
            <w:tcW w:w="1034" w:type="pct"/>
            <w:shd w:val="clear" w:color="auto" w:fill="FFFFFF"/>
            <w:tcMar>
              <w:top w:w="0" w:type="dxa"/>
              <w:left w:w="0" w:type="dxa"/>
              <w:bottom w:w="0" w:type="dxa"/>
              <w:right w:w="0" w:type="dxa"/>
            </w:tcMar>
            <w:vAlign w:val="center"/>
          </w:tcPr>
          <w:p w14:paraId="700E8392"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Bankruptcy: Minimal Asset Process (£)</w:t>
            </w:r>
          </w:p>
        </w:tc>
        <w:tc>
          <w:tcPr>
            <w:tcW w:w="437" w:type="pct"/>
            <w:shd w:val="clear" w:color="auto" w:fill="FFFFFF"/>
            <w:tcMar>
              <w:top w:w="0" w:type="dxa"/>
              <w:left w:w="0" w:type="dxa"/>
              <w:bottom w:w="0" w:type="dxa"/>
              <w:right w:w="0" w:type="dxa"/>
            </w:tcMar>
            <w:vAlign w:val="center"/>
          </w:tcPr>
          <w:p w14:paraId="77DA7936"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9,300</w:t>
            </w:r>
          </w:p>
        </w:tc>
        <w:tc>
          <w:tcPr>
            <w:tcW w:w="437" w:type="pct"/>
            <w:shd w:val="clear" w:color="auto" w:fill="FFFFFF"/>
            <w:tcMar>
              <w:top w:w="0" w:type="dxa"/>
              <w:left w:w="0" w:type="dxa"/>
              <w:bottom w:w="0" w:type="dxa"/>
              <w:right w:w="0" w:type="dxa"/>
            </w:tcMar>
            <w:vAlign w:val="center"/>
          </w:tcPr>
          <w:p w14:paraId="13691284"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9,000</w:t>
            </w:r>
          </w:p>
        </w:tc>
        <w:tc>
          <w:tcPr>
            <w:tcW w:w="437" w:type="pct"/>
            <w:shd w:val="clear" w:color="auto" w:fill="FFFFFF"/>
            <w:tcMar>
              <w:top w:w="0" w:type="dxa"/>
              <w:left w:w="0" w:type="dxa"/>
              <w:bottom w:w="0" w:type="dxa"/>
              <w:right w:w="0" w:type="dxa"/>
            </w:tcMar>
            <w:vAlign w:val="center"/>
          </w:tcPr>
          <w:p w14:paraId="40F81C35"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9,300</w:t>
            </w:r>
          </w:p>
        </w:tc>
        <w:tc>
          <w:tcPr>
            <w:tcW w:w="437" w:type="pct"/>
            <w:shd w:val="clear" w:color="auto" w:fill="FFFFFF"/>
            <w:tcMar>
              <w:top w:w="0" w:type="dxa"/>
              <w:left w:w="0" w:type="dxa"/>
              <w:bottom w:w="0" w:type="dxa"/>
              <w:right w:w="0" w:type="dxa"/>
            </w:tcMar>
            <w:vAlign w:val="center"/>
          </w:tcPr>
          <w:p w14:paraId="095EF752"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9,600</w:t>
            </w:r>
          </w:p>
        </w:tc>
        <w:tc>
          <w:tcPr>
            <w:tcW w:w="437" w:type="pct"/>
            <w:shd w:val="clear" w:color="auto" w:fill="FFFFFF"/>
            <w:tcMar>
              <w:top w:w="0" w:type="dxa"/>
              <w:left w:w="0" w:type="dxa"/>
              <w:bottom w:w="0" w:type="dxa"/>
              <w:right w:w="0" w:type="dxa"/>
            </w:tcMar>
            <w:vAlign w:val="center"/>
          </w:tcPr>
          <w:p w14:paraId="1B42C501"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9,600</w:t>
            </w:r>
          </w:p>
        </w:tc>
        <w:tc>
          <w:tcPr>
            <w:tcW w:w="437" w:type="pct"/>
            <w:shd w:val="clear" w:color="auto" w:fill="FFFFFF"/>
            <w:tcMar>
              <w:top w:w="0" w:type="dxa"/>
              <w:left w:w="0" w:type="dxa"/>
              <w:bottom w:w="0" w:type="dxa"/>
              <w:right w:w="0" w:type="dxa"/>
            </w:tcMar>
            <w:vAlign w:val="center"/>
          </w:tcPr>
          <w:p w14:paraId="6B8C8463"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11,200</w:t>
            </w:r>
          </w:p>
        </w:tc>
        <w:tc>
          <w:tcPr>
            <w:tcW w:w="437" w:type="pct"/>
            <w:shd w:val="clear" w:color="auto" w:fill="FFFFFF"/>
            <w:tcMar>
              <w:top w:w="0" w:type="dxa"/>
              <w:left w:w="0" w:type="dxa"/>
              <w:bottom w:w="0" w:type="dxa"/>
              <w:right w:w="0" w:type="dxa"/>
            </w:tcMar>
            <w:vAlign w:val="center"/>
          </w:tcPr>
          <w:p w14:paraId="08BFBFAE"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11,700</w:t>
            </w:r>
          </w:p>
        </w:tc>
        <w:tc>
          <w:tcPr>
            <w:tcW w:w="437" w:type="pct"/>
            <w:shd w:val="clear" w:color="auto" w:fill="FFFFFF"/>
            <w:tcMar>
              <w:top w:w="0" w:type="dxa"/>
              <w:left w:w="0" w:type="dxa"/>
              <w:bottom w:w="0" w:type="dxa"/>
              <w:right w:w="0" w:type="dxa"/>
            </w:tcMar>
            <w:vAlign w:val="center"/>
          </w:tcPr>
          <w:p w14:paraId="3F293779"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12,000</w:t>
            </w:r>
          </w:p>
        </w:tc>
        <w:tc>
          <w:tcPr>
            <w:tcW w:w="469" w:type="pct"/>
            <w:shd w:val="clear" w:color="auto" w:fill="FFFFFF"/>
            <w:tcMar>
              <w:top w:w="0" w:type="dxa"/>
              <w:left w:w="0" w:type="dxa"/>
              <w:bottom w:w="0" w:type="dxa"/>
              <w:right w:w="0" w:type="dxa"/>
            </w:tcMar>
            <w:vAlign w:val="center"/>
          </w:tcPr>
          <w:p w14:paraId="2B41FED1"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2.6%</w:t>
            </w:r>
          </w:p>
        </w:tc>
      </w:tr>
      <w:tr w:rsidR="004C3088" w:rsidRPr="002556CC" w14:paraId="1C540E4D" w14:textId="77777777" w:rsidTr="002556CC">
        <w:trPr>
          <w:cantSplit/>
          <w:trHeight w:hRule="exact" w:val="720"/>
          <w:jc w:val="center"/>
        </w:trPr>
        <w:tc>
          <w:tcPr>
            <w:tcW w:w="1034" w:type="pct"/>
            <w:shd w:val="clear" w:color="auto" w:fill="FFFFFF"/>
            <w:tcMar>
              <w:top w:w="0" w:type="dxa"/>
              <w:left w:w="0" w:type="dxa"/>
              <w:bottom w:w="0" w:type="dxa"/>
              <w:right w:w="0" w:type="dxa"/>
            </w:tcMar>
            <w:vAlign w:val="center"/>
          </w:tcPr>
          <w:p w14:paraId="35763159"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Bankruptcy: Full Administration (£)</w:t>
            </w:r>
          </w:p>
        </w:tc>
        <w:tc>
          <w:tcPr>
            <w:tcW w:w="437" w:type="pct"/>
            <w:shd w:val="clear" w:color="auto" w:fill="FFFFFF"/>
            <w:tcMar>
              <w:top w:w="0" w:type="dxa"/>
              <w:left w:w="0" w:type="dxa"/>
              <w:bottom w:w="0" w:type="dxa"/>
              <w:right w:w="0" w:type="dxa"/>
            </w:tcMar>
            <w:vAlign w:val="center"/>
          </w:tcPr>
          <w:p w14:paraId="124FF349"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25,100</w:t>
            </w:r>
          </w:p>
        </w:tc>
        <w:tc>
          <w:tcPr>
            <w:tcW w:w="437" w:type="pct"/>
            <w:shd w:val="clear" w:color="auto" w:fill="FFFFFF"/>
            <w:tcMar>
              <w:top w:w="0" w:type="dxa"/>
              <w:left w:w="0" w:type="dxa"/>
              <w:bottom w:w="0" w:type="dxa"/>
              <w:right w:w="0" w:type="dxa"/>
            </w:tcMar>
            <w:vAlign w:val="center"/>
          </w:tcPr>
          <w:p w14:paraId="2034E3BB"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26,800</w:t>
            </w:r>
          </w:p>
        </w:tc>
        <w:tc>
          <w:tcPr>
            <w:tcW w:w="437" w:type="pct"/>
            <w:shd w:val="clear" w:color="auto" w:fill="FFFFFF"/>
            <w:tcMar>
              <w:top w:w="0" w:type="dxa"/>
              <w:left w:w="0" w:type="dxa"/>
              <w:bottom w:w="0" w:type="dxa"/>
              <w:right w:w="0" w:type="dxa"/>
            </w:tcMar>
            <w:vAlign w:val="center"/>
          </w:tcPr>
          <w:p w14:paraId="281136DB"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26,000</w:t>
            </w:r>
          </w:p>
        </w:tc>
        <w:tc>
          <w:tcPr>
            <w:tcW w:w="437" w:type="pct"/>
            <w:shd w:val="clear" w:color="auto" w:fill="FFFFFF"/>
            <w:tcMar>
              <w:top w:w="0" w:type="dxa"/>
              <w:left w:w="0" w:type="dxa"/>
              <w:bottom w:w="0" w:type="dxa"/>
              <w:right w:w="0" w:type="dxa"/>
            </w:tcMar>
            <w:vAlign w:val="center"/>
          </w:tcPr>
          <w:p w14:paraId="377232B2"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25,700</w:t>
            </w:r>
          </w:p>
        </w:tc>
        <w:tc>
          <w:tcPr>
            <w:tcW w:w="437" w:type="pct"/>
            <w:shd w:val="clear" w:color="auto" w:fill="FFFFFF"/>
            <w:tcMar>
              <w:top w:w="0" w:type="dxa"/>
              <w:left w:w="0" w:type="dxa"/>
              <w:bottom w:w="0" w:type="dxa"/>
              <w:right w:w="0" w:type="dxa"/>
            </w:tcMar>
            <w:vAlign w:val="center"/>
          </w:tcPr>
          <w:p w14:paraId="330FA6EA"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25,000</w:t>
            </w:r>
          </w:p>
        </w:tc>
        <w:tc>
          <w:tcPr>
            <w:tcW w:w="437" w:type="pct"/>
            <w:shd w:val="clear" w:color="auto" w:fill="FFFFFF"/>
            <w:tcMar>
              <w:top w:w="0" w:type="dxa"/>
              <w:left w:w="0" w:type="dxa"/>
              <w:bottom w:w="0" w:type="dxa"/>
              <w:right w:w="0" w:type="dxa"/>
            </w:tcMar>
            <w:vAlign w:val="center"/>
          </w:tcPr>
          <w:p w14:paraId="7A832716"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30,900</w:t>
            </w:r>
          </w:p>
        </w:tc>
        <w:tc>
          <w:tcPr>
            <w:tcW w:w="437" w:type="pct"/>
            <w:shd w:val="clear" w:color="auto" w:fill="FFFFFF"/>
            <w:tcMar>
              <w:top w:w="0" w:type="dxa"/>
              <w:left w:w="0" w:type="dxa"/>
              <w:bottom w:w="0" w:type="dxa"/>
              <w:right w:w="0" w:type="dxa"/>
            </w:tcMar>
            <w:vAlign w:val="center"/>
          </w:tcPr>
          <w:p w14:paraId="147F6D28"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30,300</w:t>
            </w:r>
          </w:p>
        </w:tc>
        <w:tc>
          <w:tcPr>
            <w:tcW w:w="437" w:type="pct"/>
            <w:shd w:val="clear" w:color="auto" w:fill="FFFFFF"/>
            <w:tcMar>
              <w:top w:w="0" w:type="dxa"/>
              <w:left w:w="0" w:type="dxa"/>
              <w:bottom w:w="0" w:type="dxa"/>
              <w:right w:w="0" w:type="dxa"/>
            </w:tcMar>
            <w:vAlign w:val="center"/>
          </w:tcPr>
          <w:p w14:paraId="778B5C3D"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30,600</w:t>
            </w:r>
          </w:p>
        </w:tc>
        <w:tc>
          <w:tcPr>
            <w:tcW w:w="469" w:type="pct"/>
            <w:shd w:val="clear" w:color="auto" w:fill="FFFFFF"/>
            <w:tcMar>
              <w:top w:w="0" w:type="dxa"/>
              <w:left w:w="0" w:type="dxa"/>
              <w:bottom w:w="0" w:type="dxa"/>
              <w:right w:w="0" w:type="dxa"/>
            </w:tcMar>
            <w:vAlign w:val="center"/>
          </w:tcPr>
          <w:p w14:paraId="385E7FA7"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1.0%</w:t>
            </w:r>
          </w:p>
        </w:tc>
      </w:tr>
      <w:tr w:rsidR="004C3088" w:rsidRPr="002556CC" w14:paraId="0CAF98D4" w14:textId="77777777" w:rsidTr="002556CC">
        <w:trPr>
          <w:cantSplit/>
          <w:trHeight w:hRule="exact" w:val="720"/>
          <w:jc w:val="center"/>
        </w:trPr>
        <w:tc>
          <w:tcPr>
            <w:tcW w:w="1034" w:type="pct"/>
            <w:shd w:val="clear" w:color="auto" w:fill="FFFFFF"/>
            <w:tcMar>
              <w:top w:w="0" w:type="dxa"/>
              <w:left w:w="0" w:type="dxa"/>
              <w:bottom w:w="0" w:type="dxa"/>
              <w:right w:w="0" w:type="dxa"/>
            </w:tcMar>
            <w:vAlign w:val="center"/>
          </w:tcPr>
          <w:p w14:paraId="5FB55146"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Protected trust deed (£)</w:t>
            </w:r>
          </w:p>
        </w:tc>
        <w:tc>
          <w:tcPr>
            <w:tcW w:w="437" w:type="pct"/>
            <w:shd w:val="clear" w:color="auto" w:fill="FFFFFF"/>
            <w:tcMar>
              <w:top w:w="0" w:type="dxa"/>
              <w:left w:w="0" w:type="dxa"/>
              <w:bottom w:w="0" w:type="dxa"/>
              <w:right w:w="0" w:type="dxa"/>
            </w:tcMar>
            <w:vAlign w:val="center"/>
          </w:tcPr>
          <w:p w14:paraId="49FBD833"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14,900</w:t>
            </w:r>
          </w:p>
        </w:tc>
        <w:tc>
          <w:tcPr>
            <w:tcW w:w="437" w:type="pct"/>
            <w:shd w:val="clear" w:color="auto" w:fill="FFFFFF"/>
            <w:tcMar>
              <w:top w:w="0" w:type="dxa"/>
              <w:left w:w="0" w:type="dxa"/>
              <w:bottom w:w="0" w:type="dxa"/>
              <w:right w:w="0" w:type="dxa"/>
            </w:tcMar>
            <w:vAlign w:val="center"/>
          </w:tcPr>
          <w:p w14:paraId="5DA1FA56"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14,100</w:t>
            </w:r>
          </w:p>
        </w:tc>
        <w:tc>
          <w:tcPr>
            <w:tcW w:w="437" w:type="pct"/>
            <w:shd w:val="clear" w:color="auto" w:fill="FFFFFF"/>
            <w:tcMar>
              <w:top w:w="0" w:type="dxa"/>
              <w:left w:w="0" w:type="dxa"/>
              <w:bottom w:w="0" w:type="dxa"/>
              <w:right w:w="0" w:type="dxa"/>
            </w:tcMar>
            <w:vAlign w:val="center"/>
          </w:tcPr>
          <w:p w14:paraId="2A0D9EF8"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14,500</w:t>
            </w:r>
          </w:p>
        </w:tc>
        <w:tc>
          <w:tcPr>
            <w:tcW w:w="437" w:type="pct"/>
            <w:shd w:val="clear" w:color="auto" w:fill="FFFFFF"/>
            <w:tcMar>
              <w:top w:w="0" w:type="dxa"/>
              <w:left w:w="0" w:type="dxa"/>
              <w:bottom w:w="0" w:type="dxa"/>
              <w:right w:w="0" w:type="dxa"/>
            </w:tcMar>
            <w:vAlign w:val="center"/>
          </w:tcPr>
          <w:p w14:paraId="67984EE2"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14,900</w:t>
            </w:r>
          </w:p>
        </w:tc>
        <w:tc>
          <w:tcPr>
            <w:tcW w:w="437" w:type="pct"/>
            <w:shd w:val="clear" w:color="auto" w:fill="FFFFFF"/>
            <w:tcMar>
              <w:top w:w="0" w:type="dxa"/>
              <w:left w:w="0" w:type="dxa"/>
              <w:bottom w:w="0" w:type="dxa"/>
              <w:right w:w="0" w:type="dxa"/>
            </w:tcMar>
            <w:vAlign w:val="center"/>
          </w:tcPr>
          <w:p w14:paraId="5917162E"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15,400</w:t>
            </w:r>
          </w:p>
        </w:tc>
        <w:tc>
          <w:tcPr>
            <w:tcW w:w="437" w:type="pct"/>
            <w:shd w:val="clear" w:color="auto" w:fill="FFFFFF"/>
            <w:tcMar>
              <w:top w:w="0" w:type="dxa"/>
              <w:left w:w="0" w:type="dxa"/>
              <w:bottom w:w="0" w:type="dxa"/>
              <w:right w:w="0" w:type="dxa"/>
            </w:tcMar>
            <w:vAlign w:val="center"/>
          </w:tcPr>
          <w:p w14:paraId="65BAD9FF"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16,600</w:t>
            </w:r>
          </w:p>
        </w:tc>
        <w:tc>
          <w:tcPr>
            <w:tcW w:w="437" w:type="pct"/>
            <w:shd w:val="clear" w:color="auto" w:fill="FFFFFF"/>
            <w:tcMar>
              <w:top w:w="0" w:type="dxa"/>
              <w:left w:w="0" w:type="dxa"/>
              <w:bottom w:w="0" w:type="dxa"/>
              <w:right w:w="0" w:type="dxa"/>
            </w:tcMar>
            <w:vAlign w:val="center"/>
          </w:tcPr>
          <w:p w14:paraId="4C49EC12"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15,700</w:t>
            </w:r>
          </w:p>
        </w:tc>
        <w:tc>
          <w:tcPr>
            <w:tcW w:w="437" w:type="pct"/>
            <w:shd w:val="clear" w:color="auto" w:fill="FFFFFF"/>
            <w:tcMar>
              <w:top w:w="0" w:type="dxa"/>
              <w:left w:w="0" w:type="dxa"/>
              <w:bottom w:w="0" w:type="dxa"/>
              <w:right w:w="0" w:type="dxa"/>
            </w:tcMar>
            <w:vAlign w:val="center"/>
          </w:tcPr>
          <w:p w14:paraId="4AF23F9C"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16,400</w:t>
            </w:r>
          </w:p>
        </w:tc>
        <w:tc>
          <w:tcPr>
            <w:tcW w:w="469" w:type="pct"/>
            <w:shd w:val="clear" w:color="auto" w:fill="FFFFFF"/>
            <w:tcMar>
              <w:top w:w="0" w:type="dxa"/>
              <w:left w:w="0" w:type="dxa"/>
              <w:bottom w:w="0" w:type="dxa"/>
              <w:right w:w="0" w:type="dxa"/>
            </w:tcMar>
            <w:vAlign w:val="center"/>
          </w:tcPr>
          <w:p w14:paraId="4A7F320A"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4.5%</w:t>
            </w:r>
          </w:p>
        </w:tc>
      </w:tr>
      <w:tr w:rsidR="004C3088" w:rsidRPr="002556CC" w14:paraId="2E96492B" w14:textId="77777777" w:rsidTr="002556CC">
        <w:trPr>
          <w:cantSplit/>
          <w:trHeight w:hRule="exact" w:val="720"/>
          <w:jc w:val="center"/>
        </w:trPr>
        <w:tc>
          <w:tcPr>
            <w:tcW w:w="1034" w:type="pct"/>
            <w:shd w:val="clear" w:color="auto" w:fill="FFFFFF"/>
            <w:tcMar>
              <w:top w:w="0" w:type="dxa"/>
              <w:left w:w="0" w:type="dxa"/>
              <w:bottom w:w="0" w:type="dxa"/>
              <w:right w:w="0" w:type="dxa"/>
            </w:tcMar>
            <w:vAlign w:val="center"/>
          </w:tcPr>
          <w:p w14:paraId="4786C5C5"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Debt Arrangement Scheme (£)</w:t>
            </w:r>
          </w:p>
        </w:tc>
        <w:tc>
          <w:tcPr>
            <w:tcW w:w="437" w:type="pct"/>
            <w:shd w:val="clear" w:color="auto" w:fill="FFFFFF"/>
            <w:tcMar>
              <w:top w:w="0" w:type="dxa"/>
              <w:left w:w="0" w:type="dxa"/>
              <w:bottom w:w="0" w:type="dxa"/>
              <w:right w:w="0" w:type="dxa"/>
            </w:tcMar>
            <w:vAlign w:val="center"/>
          </w:tcPr>
          <w:p w14:paraId="185DFEB8"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[x]</w:t>
            </w:r>
          </w:p>
        </w:tc>
        <w:tc>
          <w:tcPr>
            <w:tcW w:w="437" w:type="pct"/>
            <w:shd w:val="clear" w:color="auto" w:fill="FFFFFF"/>
            <w:tcMar>
              <w:top w:w="0" w:type="dxa"/>
              <w:left w:w="0" w:type="dxa"/>
              <w:bottom w:w="0" w:type="dxa"/>
              <w:right w:w="0" w:type="dxa"/>
            </w:tcMar>
            <w:vAlign w:val="center"/>
          </w:tcPr>
          <w:p w14:paraId="69019EC0"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14,900</w:t>
            </w:r>
          </w:p>
        </w:tc>
        <w:tc>
          <w:tcPr>
            <w:tcW w:w="437" w:type="pct"/>
            <w:shd w:val="clear" w:color="auto" w:fill="FFFFFF"/>
            <w:tcMar>
              <w:top w:w="0" w:type="dxa"/>
              <w:left w:w="0" w:type="dxa"/>
              <w:bottom w:w="0" w:type="dxa"/>
              <w:right w:w="0" w:type="dxa"/>
            </w:tcMar>
            <w:vAlign w:val="center"/>
          </w:tcPr>
          <w:p w14:paraId="7E3417A5"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15,300</w:t>
            </w:r>
          </w:p>
        </w:tc>
        <w:tc>
          <w:tcPr>
            <w:tcW w:w="437" w:type="pct"/>
            <w:shd w:val="clear" w:color="auto" w:fill="FFFFFF"/>
            <w:tcMar>
              <w:top w:w="0" w:type="dxa"/>
              <w:left w:w="0" w:type="dxa"/>
              <w:bottom w:w="0" w:type="dxa"/>
              <w:right w:w="0" w:type="dxa"/>
            </w:tcMar>
            <w:vAlign w:val="center"/>
          </w:tcPr>
          <w:p w14:paraId="2F7C045C"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16,400</w:t>
            </w:r>
          </w:p>
        </w:tc>
        <w:tc>
          <w:tcPr>
            <w:tcW w:w="437" w:type="pct"/>
            <w:shd w:val="clear" w:color="auto" w:fill="FFFFFF"/>
            <w:tcMar>
              <w:top w:w="0" w:type="dxa"/>
              <w:left w:w="0" w:type="dxa"/>
              <w:bottom w:w="0" w:type="dxa"/>
              <w:right w:w="0" w:type="dxa"/>
            </w:tcMar>
            <w:vAlign w:val="center"/>
          </w:tcPr>
          <w:p w14:paraId="43C01B28"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16,400</w:t>
            </w:r>
          </w:p>
        </w:tc>
        <w:tc>
          <w:tcPr>
            <w:tcW w:w="437" w:type="pct"/>
            <w:shd w:val="clear" w:color="auto" w:fill="FFFFFF"/>
            <w:tcMar>
              <w:top w:w="0" w:type="dxa"/>
              <w:left w:w="0" w:type="dxa"/>
              <w:bottom w:w="0" w:type="dxa"/>
              <w:right w:w="0" w:type="dxa"/>
            </w:tcMar>
            <w:vAlign w:val="center"/>
          </w:tcPr>
          <w:p w14:paraId="3BDEB04A"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13,800</w:t>
            </w:r>
          </w:p>
        </w:tc>
        <w:tc>
          <w:tcPr>
            <w:tcW w:w="437" w:type="pct"/>
            <w:shd w:val="clear" w:color="auto" w:fill="FFFFFF"/>
            <w:tcMar>
              <w:top w:w="0" w:type="dxa"/>
              <w:left w:w="0" w:type="dxa"/>
              <w:bottom w:w="0" w:type="dxa"/>
              <w:right w:w="0" w:type="dxa"/>
            </w:tcMar>
            <w:vAlign w:val="center"/>
          </w:tcPr>
          <w:p w14:paraId="691DC9CB"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11,700</w:t>
            </w:r>
          </w:p>
        </w:tc>
        <w:tc>
          <w:tcPr>
            <w:tcW w:w="437" w:type="pct"/>
            <w:shd w:val="clear" w:color="auto" w:fill="FFFFFF"/>
            <w:tcMar>
              <w:top w:w="0" w:type="dxa"/>
              <w:left w:w="0" w:type="dxa"/>
              <w:bottom w:w="0" w:type="dxa"/>
              <w:right w:w="0" w:type="dxa"/>
            </w:tcMar>
            <w:vAlign w:val="center"/>
          </w:tcPr>
          <w:p w14:paraId="36D35274"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13,200</w:t>
            </w:r>
          </w:p>
        </w:tc>
        <w:tc>
          <w:tcPr>
            <w:tcW w:w="469" w:type="pct"/>
            <w:shd w:val="clear" w:color="auto" w:fill="FFFFFF"/>
            <w:tcMar>
              <w:top w:w="0" w:type="dxa"/>
              <w:left w:w="0" w:type="dxa"/>
              <w:bottom w:w="0" w:type="dxa"/>
              <w:right w:w="0" w:type="dxa"/>
            </w:tcMar>
            <w:vAlign w:val="center"/>
          </w:tcPr>
          <w:p w14:paraId="640F0095" w14:textId="77777777" w:rsidR="004C3088" w:rsidRPr="002556CC" w:rsidRDefault="002556CC">
            <w:pPr>
              <w:spacing w:before="40" w:after="40"/>
              <w:ind w:left="100" w:right="100"/>
              <w:jc w:val="right"/>
              <w:rPr>
                <w:rFonts w:ascii="Arial" w:hAnsi="Arial" w:cs="Arial"/>
                <w:sz w:val="22"/>
                <w:szCs w:val="22"/>
              </w:rPr>
            </w:pPr>
            <w:r w:rsidRPr="002556CC">
              <w:rPr>
                <w:rFonts w:ascii="Arial" w:eastAsia="Roboto" w:hAnsi="Arial" w:cs="Arial"/>
                <w:color w:val="111111"/>
                <w:sz w:val="22"/>
                <w:szCs w:val="22"/>
              </w:rPr>
              <w:t>12.8%</w:t>
            </w:r>
          </w:p>
        </w:tc>
      </w:tr>
      <w:tr w:rsidR="004C3088" w:rsidRPr="002556CC" w14:paraId="4B8EE2E7" w14:textId="77777777" w:rsidTr="002556CC">
        <w:trPr>
          <w:cantSplit/>
          <w:jc w:val="center"/>
        </w:trPr>
        <w:tc>
          <w:tcPr>
            <w:tcW w:w="5000" w:type="pct"/>
            <w:gridSpan w:val="10"/>
            <w:tcBorders>
              <w:top w:val="single" w:sz="8" w:space="0" w:color="BEBEBE"/>
            </w:tcBorders>
            <w:shd w:val="clear" w:color="auto" w:fill="FFFFFF"/>
            <w:tcMar>
              <w:top w:w="0" w:type="dxa"/>
              <w:left w:w="0" w:type="dxa"/>
              <w:bottom w:w="0" w:type="dxa"/>
              <w:right w:w="0" w:type="dxa"/>
            </w:tcMar>
            <w:vAlign w:val="center"/>
          </w:tcPr>
          <w:p w14:paraId="5681C5D2" w14:textId="77777777" w:rsidR="004C3088" w:rsidRPr="002556CC" w:rsidRDefault="002556CC">
            <w:pPr>
              <w:spacing w:after="0"/>
              <w:rPr>
                <w:rFonts w:ascii="Arial" w:hAnsi="Arial" w:cs="Arial"/>
                <w:sz w:val="22"/>
                <w:szCs w:val="22"/>
              </w:rPr>
            </w:pPr>
            <w:r w:rsidRPr="002556CC">
              <w:rPr>
                <w:rFonts w:ascii="Arial" w:eastAsia="Arial" w:hAnsi="Arial" w:cs="Arial"/>
                <w:color w:val="000000"/>
                <w:sz w:val="22"/>
                <w:szCs w:val="22"/>
              </w:rPr>
              <w:t>Source: Accountant in Bankruptcy</w:t>
            </w:r>
          </w:p>
        </w:tc>
      </w:tr>
    </w:tbl>
    <w:p w14:paraId="43A39B0C" w14:textId="77777777" w:rsidR="004C3088" w:rsidRDefault="004C3088">
      <w:pPr>
        <w:pStyle w:val="BodyText"/>
      </w:pPr>
    </w:p>
    <w:p w14:paraId="7680011C" w14:textId="77777777" w:rsidR="004C3088" w:rsidRDefault="002556CC">
      <w:pPr>
        <w:pStyle w:val="BodyText"/>
      </w:pPr>
      <w:r>
        <w:t>Debt figures for all debtors have a very skewed distribution, with a long right-hand tail of high-level debts. In other words, the majority of debtors tend to have low- or medium-level debts while there are a few people with high-level debts.</w:t>
      </w:r>
    </w:p>
    <w:p w14:paraId="27B782A3" w14:textId="77777777" w:rsidR="004C3088" w:rsidRDefault="002556CC">
      <w:pPr>
        <w:pStyle w:val="BodyText"/>
      </w:pPr>
      <w:r>
        <w:t>The median is calculated by identifying the exact middle point in a set of all debts. So, when the debts are ranked from lowest to highest, the median is the value in the exact middle of the observed debts.</w:t>
      </w:r>
    </w:p>
    <w:p w14:paraId="461B7D9B" w14:textId="77777777" w:rsidR="004C3088" w:rsidRDefault="002556CC">
      <w:pPr>
        <w:pStyle w:val="BodyText"/>
      </w:pPr>
      <w:r>
        <w:t>The median is AiB’s preferred measure of average debt level as it is less affected by a relatively small number of debtors with very high debt level than the mean is.</w:t>
      </w:r>
    </w:p>
    <w:p w14:paraId="27AE8DB5" w14:textId="77777777" w:rsidR="004C3088" w:rsidRDefault="002556CC">
      <w:pPr>
        <w:pStyle w:val="BodyText"/>
      </w:pPr>
      <w:r>
        <w:t>The mean is the sum of all debts divided by the number of debtors. Although mean figures are not presented here, these are similar to the median figures for each grouped debt level except for the debt level at least £10,000. In the latter grouped debt level (at least £10,000), the mean figure is much greater than the median figure because there is no upper limit.</w:t>
      </w:r>
    </w:p>
    <w:p w14:paraId="6E7F2FE5" w14:textId="77777777" w:rsidR="004C3088" w:rsidRDefault="002556CC">
      <w:pPr>
        <w:pStyle w:val="BodyText"/>
      </w:pPr>
      <w:r>
        <w:t>It may help to distinguish between “average debt” (mean) and “the debt of a typical debtor” (median).</w:t>
      </w:r>
    </w:p>
    <w:p w14:paraId="205D478C" w14:textId="77777777" w:rsidR="004C3088" w:rsidRDefault="004C3088">
      <w:pPr>
        <w:pStyle w:val="BodyText"/>
      </w:pPr>
    </w:p>
    <w:p w14:paraId="358E9A4E" w14:textId="77777777" w:rsidR="004C3088" w:rsidRDefault="002556CC">
      <w:pPr>
        <w:pStyle w:val="Heading2"/>
      </w:pPr>
      <w:bookmarkStart w:id="32" w:name="X016246fdb90fd9b02be6f12ea07c3395286e7d7"/>
      <w:bookmarkStart w:id="33" w:name="_Toc142064476"/>
      <w:r>
        <w:t>Average contribution level by type of debt solutions</w:t>
      </w:r>
      <w:bookmarkEnd w:id="32"/>
      <w:bookmarkEnd w:id="33"/>
    </w:p>
    <w:p w14:paraId="3AC27103" w14:textId="77777777" w:rsidR="004C3088" w:rsidRDefault="002556CC">
      <w:pPr>
        <w:pStyle w:val="FirstParagraph"/>
      </w:pPr>
      <w:r>
        <w:t>Chart 8 below shows the median monthly contribution (payment) level by financial year and type of debt solution. In the last five financial years, the median monthly contributions in DPPs (between £160 and £220) have been greater than in PTDs (£140).</w:t>
      </w:r>
    </w:p>
    <w:p w14:paraId="50764F4A" w14:textId="77777777" w:rsidR="004C3088" w:rsidRDefault="002556CC">
      <w:pPr>
        <w:pStyle w:val="CaptionedFigure"/>
      </w:pPr>
      <w:r>
        <w:rPr>
          <w:noProof/>
        </w:rPr>
        <w:drawing>
          <wp:inline distT="0" distB="0" distL="0" distR="0" wp14:anchorId="0893220F" wp14:editId="0F8E425D">
            <wp:extent cx="5943600" cy="4242598"/>
            <wp:effectExtent l="0" t="0" r="0" b="0"/>
            <wp:docPr id="27" name="Picture" descr="Chart 8 shows the median monthly contribution (£) by type of solution from 2015-16 to 2022-23. This chart shows that average monthly contributions in DAS DPPs have been greater than those in PTDs for the last 6 years."/>
            <wp:cNvGraphicFramePr/>
            <a:graphic xmlns:a="http://schemas.openxmlformats.org/drawingml/2006/main">
              <a:graphicData uri="http://schemas.openxmlformats.org/drawingml/2006/picture">
                <pic:pic xmlns:pic="http://schemas.openxmlformats.org/drawingml/2006/picture">
                  <pic:nvPicPr>
                    <pic:cNvPr id="28" name="Picture" descr="_pub_chart_8_plot.png"/>
                    <pic:cNvPicPr>
                      <a:picLocks noChangeAspect="1" noChangeArrowheads="1"/>
                    </pic:cNvPicPr>
                  </pic:nvPicPr>
                  <pic:blipFill>
                    <a:blip r:embed="rId31"/>
                    <a:stretch>
                      <a:fillRect/>
                    </a:stretch>
                  </pic:blipFill>
                  <pic:spPr bwMode="auto">
                    <a:xfrm>
                      <a:off x="0" y="0"/>
                      <a:ext cx="5943600" cy="4242598"/>
                    </a:xfrm>
                    <a:prstGeom prst="rect">
                      <a:avLst/>
                    </a:prstGeom>
                    <a:noFill/>
                    <a:ln w="9525">
                      <a:noFill/>
                      <a:headEnd/>
                      <a:tailEnd/>
                    </a:ln>
                  </pic:spPr>
                </pic:pic>
              </a:graphicData>
            </a:graphic>
          </wp:inline>
        </w:drawing>
      </w:r>
    </w:p>
    <w:p w14:paraId="14E1253F" w14:textId="77777777" w:rsidR="002556CC" w:rsidRDefault="002556CC">
      <w:pPr>
        <w:rPr>
          <w:rFonts w:ascii="Arial" w:eastAsiaTheme="majorEastAsia" w:hAnsi="Arial" w:cstheme="majorBidi"/>
          <w:b/>
          <w:bCs/>
          <w:sz w:val="32"/>
          <w:szCs w:val="32"/>
        </w:rPr>
      </w:pPr>
      <w:bookmarkStart w:id="34" w:name="background-information"/>
      <w:bookmarkStart w:id="35" w:name="_Toc142064477"/>
      <w:r>
        <w:br w:type="page"/>
      </w:r>
    </w:p>
    <w:p w14:paraId="51947074" w14:textId="43FE7BD3" w:rsidR="004C3088" w:rsidRDefault="002556CC">
      <w:pPr>
        <w:pStyle w:val="Heading2"/>
      </w:pPr>
      <w:r>
        <w:t>Background information</w:t>
      </w:r>
      <w:bookmarkEnd w:id="34"/>
      <w:bookmarkEnd w:id="35"/>
    </w:p>
    <w:p w14:paraId="46AB05C1" w14:textId="77777777" w:rsidR="004C3088" w:rsidRDefault="002556CC">
      <w:pPr>
        <w:pStyle w:val="Heading3"/>
      </w:pPr>
      <w:bookmarkStart w:id="36" w:name="data-sources"/>
      <w:r>
        <w:t>Data Sources</w:t>
      </w:r>
      <w:bookmarkEnd w:id="36"/>
    </w:p>
    <w:p w14:paraId="2A08A15E" w14:textId="77777777" w:rsidR="004C3088" w:rsidRDefault="002556CC">
      <w:pPr>
        <w:pStyle w:val="FirstParagraph"/>
      </w:pPr>
      <w:r>
        <w:t>The statistics for Scottish statutory debt solutions (bankruptcies, PTDs, and DAS) are derived from administrative data of records processed within AiB and stored on the systems BASYS, ASTRA and eDEN (formerly DASH) respectively. Note DASH was decommissioned on 30 June 2019 and its replacement system, eDEN, went live on 1 July 2019.</w:t>
      </w:r>
    </w:p>
    <w:p w14:paraId="28236E57" w14:textId="77777777" w:rsidR="004C3088" w:rsidRDefault="002556CC">
      <w:pPr>
        <w:pStyle w:val="BodyText"/>
      </w:pPr>
      <w:r>
        <w:t>The exception to this is creditor and trustee petition bankruptcies which are sourced from the courts that grant them and subsequently stored on the BASYS system.</w:t>
      </w:r>
    </w:p>
    <w:p w14:paraId="724CB540" w14:textId="77777777" w:rsidR="004C3088" w:rsidRDefault="002556CC">
      <w:pPr>
        <w:pStyle w:val="BodyText"/>
      </w:pPr>
      <w:r>
        <w:t>The statistics for statutory moratorium on diligence are also derived from administrative data of records processed within AiB and stored on the Register of Insolvencies.</w:t>
      </w:r>
    </w:p>
    <w:p w14:paraId="03D25A8E" w14:textId="77777777" w:rsidR="004C3088" w:rsidRDefault="002556CC">
      <w:pPr>
        <w:pStyle w:val="BodyText"/>
      </w:pPr>
      <w:r>
        <w:t>Corporate insolvencies are derived from administrative records provided by the courts and insolvency professionals (liquidators and receivers). Note that corporate insolvency statistics published by AiB may differ from equivalent statistics from the UK Government, through The Insolvency Service, as their data is sourced from their own administrative systems and Companies House. There is a time lag between the dates when a corporate insolvency is awarded or a member voluntary liquidation is registered and when AiB receives notice. Differences between sets of these statistics are mainly due to AiB using its own administrative system’s data.</w:t>
      </w:r>
    </w:p>
    <w:p w14:paraId="37E8A844" w14:textId="77777777" w:rsidR="004C3088" w:rsidRDefault="004C3088">
      <w:pPr>
        <w:pStyle w:val="BodyText"/>
      </w:pPr>
    </w:p>
    <w:p w14:paraId="738C18C2" w14:textId="77777777" w:rsidR="004C3088" w:rsidRDefault="002556CC">
      <w:pPr>
        <w:pStyle w:val="Heading3"/>
      </w:pPr>
      <w:bookmarkStart w:id="37" w:name="methodology"/>
      <w:r>
        <w:t>Methodology</w:t>
      </w:r>
      <w:bookmarkEnd w:id="37"/>
    </w:p>
    <w:p w14:paraId="609EC56F" w14:textId="77777777" w:rsidR="004C3088" w:rsidRDefault="002556CC">
      <w:pPr>
        <w:pStyle w:val="FirstParagraph"/>
      </w:pPr>
      <w:r>
        <w:t>Figures are produced from tabulation of raw data from relevant administrative systems for bankruptcies, PTDs, DPPs under DAS, statutory moratoria on diligence and corporate insolvencies.</w:t>
      </w:r>
    </w:p>
    <w:p w14:paraId="46091003" w14:textId="77777777" w:rsidR="004C3088" w:rsidRDefault="002556CC">
      <w:pPr>
        <w:pStyle w:val="BodyText"/>
      </w:pPr>
      <w:r>
        <w:t>The numbers of personal insolvencies reported are based on the date of the court order, agreement of the insolvency procedure or approval date.</w:t>
      </w:r>
    </w:p>
    <w:p w14:paraId="64B81103" w14:textId="77777777" w:rsidR="004C3088" w:rsidRDefault="002556CC">
      <w:pPr>
        <w:pStyle w:val="BodyText"/>
      </w:pPr>
      <w:r>
        <w:t>For creditor petitions, the published figures will be influenced by, for example, the late reporting of court orders which may lead to underestimating the number of creditor petitions awarded. Creditor petitions statistics are subsequently adjusted after the final quarterly release of the financial year. The revised figures are reflected in the next annual report of the financial year and the first quarterly report of the next financial year.</w:t>
      </w:r>
    </w:p>
    <w:p w14:paraId="04719CB3" w14:textId="77777777" w:rsidR="004C3088" w:rsidRDefault="002556CC">
      <w:pPr>
        <w:pStyle w:val="BodyText"/>
      </w:pPr>
      <w:r>
        <w:t>The number of DPPs under DAS reported are based on the date the DPP was approved. The number of statutory moratorium on diligence reported are based on the date the granted moratorium was submitted. Corporate insolvencies are based on the date the insolvency was registered in AiB’s administrative recording system.</w:t>
      </w:r>
    </w:p>
    <w:p w14:paraId="15953521" w14:textId="77777777" w:rsidR="004C3088" w:rsidRDefault="004C3088">
      <w:pPr>
        <w:pStyle w:val="BodyText"/>
      </w:pPr>
    </w:p>
    <w:p w14:paraId="1823EC03" w14:textId="77777777" w:rsidR="004C3088" w:rsidRDefault="002556CC">
      <w:pPr>
        <w:pStyle w:val="Heading3"/>
      </w:pPr>
      <w:bookmarkStart w:id="38" w:name="general-revisions-and-corrections"/>
      <w:r>
        <w:t>General Revisions and Corrections</w:t>
      </w:r>
      <w:bookmarkEnd w:id="38"/>
    </w:p>
    <w:p w14:paraId="3521EB55" w14:textId="77777777" w:rsidR="004C3088" w:rsidRDefault="002556CC">
      <w:pPr>
        <w:pStyle w:val="FirstParagraph"/>
      </w:pPr>
      <w:r>
        <w:t>With the exception of statistics already reported in the quarterly Scottish Statutory Debt Solutions Statistics publications, figures presented in this Excel file for all financial years remain provisional and subject to revision.</w:t>
      </w:r>
    </w:p>
    <w:p w14:paraId="714DF737" w14:textId="77777777" w:rsidR="004C3088" w:rsidRDefault="002556CC">
      <w:pPr>
        <w:pStyle w:val="BodyText"/>
      </w:pPr>
      <w:r>
        <w:t>Sometimes when quality assuring the data for the latest years, errors in data classifications applied to any type of statutory debt solutions, statutory moratorium on diligence, or any type of corporate insolvency may come to light. In this case, we may correct the erroneous data classifications in previous year and we will alert users of our statistics about such corrections.</w:t>
      </w:r>
    </w:p>
    <w:p w14:paraId="5711E2EE" w14:textId="77777777" w:rsidR="004C3088" w:rsidRDefault="004C3088">
      <w:pPr>
        <w:pStyle w:val="BodyText"/>
      </w:pPr>
    </w:p>
    <w:p w14:paraId="643B984E" w14:textId="77777777" w:rsidR="004C3088" w:rsidRDefault="002556CC">
      <w:pPr>
        <w:pStyle w:val="Heading3"/>
      </w:pPr>
      <w:bookmarkStart w:id="39" w:name="quality"/>
      <w:r>
        <w:t>Quality</w:t>
      </w:r>
      <w:bookmarkEnd w:id="39"/>
    </w:p>
    <w:p w14:paraId="5D4ECBFD" w14:textId="77777777" w:rsidR="004C3088" w:rsidRDefault="002556CC">
      <w:pPr>
        <w:pStyle w:val="Heading4"/>
      </w:pPr>
      <w:bookmarkStart w:id="40" w:name="relevance"/>
      <w:r>
        <w:t>Relevance</w:t>
      </w:r>
      <w:bookmarkEnd w:id="40"/>
    </w:p>
    <w:p w14:paraId="32F49914" w14:textId="77777777" w:rsidR="004C3088" w:rsidRDefault="002556CC">
      <w:pPr>
        <w:pStyle w:val="FirstParagraph"/>
      </w:pPr>
      <w:r>
        <w:t>Relevance is the degree to which statistics meet the current and potential needs of user.</w:t>
      </w:r>
    </w:p>
    <w:p w14:paraId="6CA16AE1" w14:textId="77777777" w:rsidR="004C3088" w:rsidRDefault="002556CC">
      <w:pPr>
        <w:pStyle w:val="BodyText"/>
      </w:pPr>
      <w:r>
        <w:t>The statistics produced by AiB are the most complete record of the number of statutory debt solutions and statutory moratoria on diligence. Statistics on corporate insolvencies are also included.</w:t>
      </w:r>
    </w:p>
    <w:p w14:paraId="078E390C" w14:textId="77777777" w:rsidR="004C3088" w:rsidRDefault="002556CC">
      <w:pPr>
        <w:pStyle w:val="BodyText"/>
      </w:pPr>
      <w:r>
        <w:t>The statistics presented here do not include non-statutory debt solutions. This is where debtors make their own arrangements with creditors or enter informal debt management plans with a debt management firm. The demand for statutory debt solutions should be seen within the context of the overall debt solution market (both statutory and non-statutory solutions).</w:t>
      </w:r>
    </w:p>
    <w:p w14:paraId="762F25D9" w14:textId="77777777" w:rsidR="004C3088" w:rsidRDefault="002556CC">
      <w:pPr>
        <w:pStyle w:val="BodyText"/>
      </w:pPr>
      <w:r>
        <w:t>This demand will be affected by changes in the legislative and regulatory environment. For example, changes to the Financial Conduct Authority’s regulatory procedures could affect the supply of non-statutory solutions and in turn the demand for statutory debt solutions.</w:t>
      </w:r>
    </w:p>
    <w:p w14:paraId="09CBE148" w14:textId="77777777" w:rsidR="004C3088" w:rsidRDefault="002556CC">
      <w:pPr>
        <w:pStyle w:val="BodyText"/>
      </w:pPr>
      <w:r>
        <w:t>Key users of AiB’s insolvency statistics are: AiB itself, which has policy responsibility for statutory debt solutions in Scotland and devolved areas of corporate insolvency; the insolvency profession; debt advice agencies; media organisations; academics; creditors and the general public.</w:t>
      </w:r>
    </w:p>
    <w:p w14:paraId="6D8E4CE9" w14:textId="77777777" w:rsidR="004C3088" w:rsidRDefault="004C3088">
      <w:pPr>
        <w:pStyle w:val="BodyText"/>
      </w:pPr>
    </w:p>
    <w:p w14:paraId="07298AF9" w14:textId="77777777" w:rsidR="004C3088" w:rsidRDefault="002556CC">
      <w:pPr>
        <w:pStyle w:val="Heading4"/>
      </w:pPr>
      <w:bookmarkStart w:id="41" w:name="accuracy"/>
      <w:r>
        <w:t>Accuracy</w:t>
      </w:r>
      <w:bookmarkEnd w:id="41"/>
    </w:p>
    <w:p w14:paraId="5FC51D8A" w14:textId="77777777" w:rsidR="004C3088" w:rsidRDefault="002556CC">
      <w:pPr>
        <w:pStyle w:val="FirstParagraph"/>
      </w:pPr>
      <w:r>
        <w:t>Accuracy is the closeness between an estimated result and the (unknown) true value.</w:t>
      </w:r>
    </w:p>
    <w:p w14:paraId="280B21FB" w14:textId="77777777" w:rsidR="004C3088" w:rsidRDefault="002556CC">
      <w:pPr>
        <w:pStyle w:val="BodyText"/>
      </w:pPr>
      <w:r>
        <w:t>All formal insolvency procedures entered into by a company, a partnership or an individual are required by law to be reported to the appropriate body, so the statistics should be a complete record of statutory insolvency in Scotland.</w:t>
      </w:r>
    </w:p>
    <w:p w14:paraId="4E2374C5" w14:textId="77777777" w:rsidR="004C3088" w:rsidRDefault="002556CC">
      <w:pPr>
        <w:pStyle w:val="BodyText"/>
      </w:pPr>
      <w:r>
        <w:t>The number of statutory debt solutions and statutory moratoria on diligence are based on the date of the order, agreement of the insolvency procedure or the approval date, not on the date it was registered on the administrative recording system. This does not have any implications for cases processed within AiB. However, the published number of creditor petitions will be influenced by, for example, the late reporting of creditor petition court orders, which may lead to missing data. Under the current revision policy, figures on the number of creditor petitions are revised quarterly to account for late reporting or missing cases.</w:t>
      </w:r>
    </w:p>
    <w:p w14:paraId="41439A8F" w14:textId="77777777" w:rsidR="004C3088" w:rsidRDefault="002556CC">
      <w:pPr>
        <w:pStyle w:val="BodyText"/>
      </w:pPr>
      <w:r>
        <w:t>The number of corporate insolvencies is based on the date the insolvency was registered on the AiB corporate insolvency recording system (BASYS). The corporate insolvency figures will be influenced by, for example, the late reporting of orders which may lead to a quarter’s figures containing cases awarded in the previous quarter. This should be noted when making comparisons of trends over time or comparing with other sources of data published by The Insolvency Service, and Companies House.</w:t>
      </w:r>
    </w:p>
    <w:p w14:paraId="598D367D" w14:textId="77777777" w:rsidR="004C3088" w:rsidRDefault="002556CC">
      <w:pPr>
        <w:pStyle w:val="BodyText"/>
      </w:pPr>
      <w:r>
        <w:t>Data validation processes are in place to identify and resolve erroneous data inputs and duplication of cases or when extracting data from the administrative systems, to make sure that returns cover all debt solutions, and to check the accuracy and consistency within tables and between related tables.</w:t>
      </w:r>
    </w:p>
    <w:p w14:paraId="197051BF" w14:textId="77777777" w:rsidR="004C3088" w:rsidRDefault="004C3088">
      <w:pPr>
        <w:pStyle w:val="BodyText"/>
      </w:pPr>
    </w:p>
    <w:p w14:paraId="04FCDB4A" w14:textId="77777777" w:rsidR="004C3088" w:rsidRDefault="002556CC">
      <w:pPr>
        <w:pStyle w:val="Heading4"/>
      </w:pPr>
      <w:bookmarkStart w:id="42" w:name="timeliness-and-punctuality"/>
      <w:r>
        <w:t>Timeliness and punctuality</w:t>
      </w:r>
      <w:bookmarkEnd w:id="42"/>
    </w:p>
    <w:p w14:paraId="7375639F" w14:textId="77777777" w:rsidR="004C3088" w:rsidRDefault="002556CC">
      <w:pPr>
        <w:pStyle w:val="FirstParagraph"/>
      </w:pPr>
      <w:r>
        <w:t>Timeliness refers to the time gap between the publication date and the reference period for the statistics.</w:t>
      </w:r>
    </w:p>
    <w:p w14:paraId="797BBE5F" w14:textId="77777777" w:rsidR="004C3088" w:rsidRDefault="002556CC">
      <w:pPr>
        <w:pStyle w:val="BodyText"/>
      </w:pPr>
      <w:r>
        <w:t>Punctuality is the time lag between the actual and planned dates of publication for the statistics.</w:t>
      </w:r>
    </w:p>
    <w:p w14:paraId="1B434D35" w14:textId="77777777" w:rsidR="004C3088" w:rsidRDefault="002556CC">
      <w:pPr>
        <w:pStyle w:val="BodyText"/>
      </w:pPr>
      <w:r>
        <w:t>The Scottish Statutory Debt Solutions Annual Statistics are expected to be published on the first Wednesday of August following the end of the financial year being reported on. This publication date allows receipt of all the data inputs and sufficient time for quality assurance of the data extracts, tabulating records and completing the compilation of the statistical release. This means there is an approximate three month lag between the end of the financial quarter and the publication of the Scottish Statutory Debt Solutions Annual Statistics.</w:t>
      </w:r>
    </w:p>
    <w:p w14:paraId="7FF5A61E" w14:textId="77777777" w:rsidR="004C3088" w:rsidRDefault="002556CC">
      <w:pPr>
        <w:pStyle w:val="BodyText"/>
      </w:pPr>
      <w:r>
        <w:t xml:space="preserve">The exact publication date will be pre-announced through a 12-month release calendar, giving a specific release date at least four weeks in advance where practical – </w:t>
      </w:r>
      <w:hyperlink r:id="rId32">
        <w:r>
          <w:rPr>
            <w:rStyle w:val="Hyperlink"/>
          </w:rPr>
          <w:t>Official statistics: forthcoming publications - gov.scot</w:t>
        </w:r>
      </w:hyperlink>
    </w:p>
    <w:p w14:paraId="0DF2D220" w14:textId="77777777" w:rsidR="004C3088" w:rsidRDefault="004C3088">
      <w:pPr>
        <w:pStyle w:val="BodyText"/>
      </w:pPr>
    </w:p>
    <w:p w14:paraId="3773C79A" w14:textId="77777777" w:rsidR="004C3088" w:rsidRDefault="002556CC">
      <w:pPr>
        <w:pStyle w:val="Heading4"/>
      </w:pPr>
      <w:bookmarkStart w:id="43" w:name="accessibility-and-clarity"/>
      <w:r>
        <w:t>Accessibility and clarity</w:t>
      </w:r>
      <w:bookmarkEnd w:id="43"/>
    </w:p>
    <w:p w14:paraId="6FBD3EB3" w14:textId="77777777" w:rsidR="004C3088" w:rsidRDefault="002556CC">
      <w:pPr>
        <w:pStyle w:val="FirstParagraph"/>
      </w:pPr>
      <w:r>
        <w:t>Accessibility is the ease with which users can access the statistics and data. It is also about the format in which data is available and the availability of supporting information.*</w:t>
      </w:r>
    </w:p>
    <w:p w14:paraId="4A1B5E79" w14:textId="77777777" w:rsidR="004C3088" w:rsidRDefault="002556CC">
      <w:pPr>
        <w:pStyle w:val="BodyText"/>
      </w:pPr>
      <w:r>
        <w:t>Clarity refers to the quality and sufficiency of the commentary, illustrations, accompanying advice and technical details.</w:t>
      </w:r>
    </w:p>
    <w:p w14:paraId="17043521" w14:textId="77777777" w:rsidR="004C3088" w:rsidRDefault="002556CC">
      <w:pPr>
        <w:pStyle w:val="BodyText"/>
      </w:pPr>
      <w:r>
        <w:t>The Scottish Statutory Debt Solutions Annual Statistics are available free of charge to the end user on the AiB website. They are published as HTML and a Word document via the website and ScotStat. The accompanying tables are also published in the Excel format. Contact details can be found at the beginning of our publication report for any specific data requests.</w:t>
      </w:r>
    </w:p>
    <w:p w14:paraId="1776FF6B" w14:textId="77777777" w:rsidR="004C3088" w:rsidRDefault="002556CC">
      <w:pPr>
        <w:pStyle w:val="BodyText"/>
      </w:pPr>
      <w:r>
        <w:t>It is important to ensure that statistics are presented in a clear, unambiguous way that supports and promotes use by all types of users. To this end, we have adopted the use of plain language as much as possible. The main findings are presented using a series of text and charts. Technical terms, acronyms and definitions are defined and explained when this is appropriate. These approaches would ensure that the statistics can be used effectively.</w:t>
      </w:r>
    </w:p>
    <w:p w14:paraId="4B3169D6" w14:textId="77777777" w:rsidR="004C3088" w:rsidRDefault="002556CC">
      <w:pPr>
        <w:pStyle w:val="BodyText"/>
      </w:pPr>
      <w:r>
        <w:t>However, AiB does want readers’ and users’ feedback on any aspect of these statistics, and encourage them to complete our online survey or get in touch with us. Contact details and link to the online survey can be found at the beginning of our publication report.</w:t>
      </w:r>
    </w:p>
    <w:p w14:paraId="41B618E6" w14:textId="77777777" w:rsidR="004C3088" w:rsidRDefault="004C3088">
      <w:pPr>
        <w:pStyle w:val="BodyText"/>
      </w:pPr>
    </w:p>
    <w:p w14:paraId="01E60773" w14:textId="77777777" w:rsidR="004C3088" w:rsidRDefault="002556CC">
      <w:pPr>
        <w:pStyle w:val="Heading4"/>
      </w:pPr>
      <w:bookmarkStart w:id="44" w:name="comparability"/>
      <w:r>
        <w:t>Comparability</w:t>
      </w:r>
      <w:bookmarkEnd w:id="44"/>
    </w:p>
    <w:p w14:paraId="70B87CB9" w14:textId="77777777" w:rsidR="004C3088" w:rsidRDefault="002556CC">
      <w:pPr>
        <w:pStyle w:val="FirstParagraph"/>
      </w:pPr>
      <w:r>
        <w:t>Comparability is the degree to which statistics can be compared over time, region or another domain.</w:t>
      </w:r>
    </w:p>
    <w:p w14:paraId="7095BD04" w14:textId="77777777" w:rsidR="004C3088" w:rsidRDefault="002556CC">
      <w:pPr>
        <w:pStyle w:val="BodyText"/>
      </w:pPr>
      <w:r>
        <w:t>Statutory debt solutions statistics can be compared between different type of debt solutions. They can be used to identify trends over time.</w:t>
      </w:r>
    </w:p>
    <w:p w14:paraId="3B81444E" w14:textId="77777777" w:rsidR="004C3088" w:rsidRDefault="002556CC">
      <w:pPr>
        <w:pStyle w:val="BodyText"/>
      </w:pPr>
      <w:r>
        <w:t>However, changes in legislation and policy may affect the extent to which comparisons can be made over time for individual data series. Such change might cause breaks in time series so that statistics from before and after the change are not comparable. Where such changes are known, they have been highlighted in the commentary and in the general background notes along with the implications for use made clear.</w:t>
      </w:r>
    </w:p>
    <w:p w14:paraId="692635EE" w14:textId="77777777" w:rsidR="004C3088" w:rsidRDefault="004C3088">
      <w:pPr>
        <w:pStyle w:val="BodyText"/>
      </w:pPr>
    </w:p>
    <w:p w14:paraId="79EFE43E" w14:textId="77777777" w:rsidR="004C3088" w:rsidRDefault="002556CC">
      <w:pPr>
        <w:pStyle w:val="Heading4"/>
      </w:pPr>
      <w:bookmarkStart w:id="45" w:name="coherence"/>
      <w:r>
        <w:t>Coherence</w:t>
      </w:r>
      <w:bookmarkEnd w:id="45"/>
    </w:p>
    <w:p w14:paraId="0314173D" w14:textId="77777777" w:rsidR="004C3088" w:rsidRDefault="002556CC">
      <w:pPr>
        <w:pStyle w:val="FirstParagraph"/>
      </w:pPr>
      <w:r>
        <w:t>Coherence is the degree to which the statistical processes that generate two or more outputs use the same concepts and harmonised methods.</w:t>
      </w:r>
    </w:p>
    <w:p w14:paraId="34CC2440" w14:textId="77777777" w:rsidR="004C3088" w:rsidRDefault="002556CC">
      <w:pPr>
        <w:pStyle w:val="BodyText"/>
      </w:pPr>
      <w:r>
        <w:t xml:space="preserve">Overall, the Scottish Statutory Debt Solutions Statistics are the definitive source of statistics for statutory debt solutions in Scotland. The Insolvency Service include figures from the Scottish Statutory Debt Solutions Quarterly Statistics publications in their official statistics releases on individual insolvencies - </w:t>
      </w:r>
      <w:hyperlink r:id="rId33">
        <w:r>
          <w:rPr>
            <w:rStyle w:val="Hyperlink"/>
          </w:rPr>
          <w:t>Individual Insolvency Statistics Releases - GOV.UK</w:t>
        </w:r>
      </w:hyperlink>
    </w:p>
    <w:p w14:paraId="169781B9" w14:textId="77777777" w:rsidR="004C3088" w:rsidRDefault="002556CC">
      <w:pPr>
        <w:pStyle w:val="BodyText"/>
      </w:pPr>
      <w:r>
        <w:t>It is important to note that the operational, policy and legislative differences in all nations of UK, and users should be mindful of this caveat when making comparisons with other parts of the UK.</w:t>
      </w:r>
    </w:p>
    <w:p w14:paraId="4D5851D9" w14:textId="77777777" w:rsidR="004C3088" w:rsidRDefault="002556CC">
      <w:pPr>
        <w:pStyle w:val="BodyText"/>
      </w:pPr>
      <w:r>
        <w:t xml:space="preserve">AiB publishes year end totals of the quarterly statistics in this annual publication. These numbers may differ slightly to those reported throughout the year, but the annual statistics are subsequently revised to match. In these annual publications, statistics by local authority areas are included and this is achieved by matching the postcode with the Standard Geography Code Register: </w:t>
      </w:r>
      <w:hyperlink r:id="rId34">
        <w:proofErr w:type="spellStart"/>
        <w:r>
          <w:rPr>
            <w:rStyle w:val="Hyperlink"/>
          </w:rPr>
          <w:t>statistics.gov.scot</w:t>
        </w:r>
        <w:proofErr w:type="spellEnd"/>
        <w:r>
          <w:rPr>
            <w:rStyle w:val="Hyperlink"/>
          </w:rPr>
          <w:t xml:space="preserve"> : Standard Geography Code Register.</w:t>
        </w:r>
      </w:hyperlink>
      <w:r>
        <w:t xml:space="preserve"> This Register contains the standard statistical blocks which are Output Areas, Data Zones and Intermediate Zones, and these blocks are derived from Scotland’s 2011 Census geographies. Adopting the standard geography code ensures geographical harmonisation and coherence, enabling the data to be consistent over time between local authority areas within Scotland. Note, when producing statistics by local authority areas, numbers may differ slightly as postcodes of debtors cannot always be assigned, where this occurs these differences will be highlighted.</w:t>
      </w:r>
    </w:p>
    <w:p w14:paraId="5048E226" w14:textId="77777777" w:rsidR="004C3088" w:rsidRDefault="002556CC">
      <w:pPr>
        <w:pStyle w:val="BodyText"/>
      </w:pPr>
      <w:r>
        <w:t>Overall, the annual experimental and quarterly official statistics are the definitive source of statistics for statutory debt solutions in Scotland.</w:t>
      </w:r>
    </w:p>
    <w:p w14:paraId="1718B05C" w14:textId="77777777" w:rsidR="004C3088" w:rsidRDefault="002556CC">
      <w:pPr>
        <w:pStyle w:val="BodyText"/>
      </w:pPr>
      <w:r>
        <w:t>AiB is required to be notified of all company liquidations and receiverships in Scotland, and publishes quarterly official statistics based on its own administrative records. These differ from the Insolvency Service’s Insolvency Statistics publications, which use data from Companies House as the source. Differences are due to AiB using its own administrative system’s data rather than the start date of the insolvency.</w:t>
      </w:r>
    </w:p>
    <w:p w14:paraId="29328A1F" w14:textId="77777777" w:rsidR="004C3088" w:rsidRDefault="004C3088">
      <w:pPr>
        <w:pStyle w:val="BodyText"/>
      </w:pPr>
    </w:p>
    <w:p w14:paraId="12E992CB" w14:textId="77777777" w:rsidR="004C3088" w:rsidRDefault="002556CC">
      <w:pPr>
        <w:pStyle w:val="Heading2"/>
      </w:pPr>
      <w:bookmarkStart w:id="46" w:name="legislationlink"/>
      <w:bookmarkStart w:id="47" w:name="_Toc142064478"/>
      <w:r>
        <w:t>Statutory Debt Solutions legislation</w:t>
      </w:r>
      <w:bookmarkEnd w:id="46"/>
      <w:bookmarkEnd w:id="47"/>
    </w:p>
    <w:p w14:paraId="25B12CD2" w14:textId="77777777" w:rsidR="004C3088" w:rsidRDefault="002556CC">
      <w:pPr>
        <w:pStyle w:val="Heading3"/>
      </w:pPr>
      <w:bookmarkStart w:id="48" w:name="insolvency-legislation"/>
      <w:r>
        <w:t>Insolvency legislation</w:t>
      </w:r>
      <w:bookmarkEnd w:id="48"/>
    </w:p>
    <w:p w14:paraId="19113B2D" w14:textId="77777777" w:rsidR="004C3088" w:rsidRDefault="004C3088">
      <w:pPr>
        <w:pStyle w:val="FirstParagraph"/>
      </w:pPr>
    </w:p>
    <w:p w14:paraId="4517DA61" w14:textId="77777777" w:rsidR="004C3088" w:rsidRDefault="002556CC">
      <w:pPr>
        <w:pStyle w:val="Heading4"/>
      </w:pPr>
      <w:bookmarkStart w:id="49" w:name="personal-insolvency"/>
      <w:r>
        <w:t>Personal Insolvency</w:t>
      </w:r>
      <w:bookmarkEnd w:id="49"/>
    </w:p>
    <w:p w14:paraId="3F219B72" w14:textId="77777777" w:rsidR="004C3088" w:rsidRDefault="002556CC">
      <w:pPr>
        <w:pStyle w:val="FirstParagraph"/>
      </w:pPr>
      <w:r>
        <w:t>The Accountant in Bankruptcy (AiB) has a duty to supervise all personal insolvencies in Scotland. It also administers those bankruptcies where The Accountant acts as trustee.</w:t>
      </w:r>
    </w:p>
    <w:p w14:paraId="075546F3" w14:textId="77777777" w:rsidR="004C3088" w:rsidRDefault="002556CC">
      <w:pPr>
        <w:pStyle w:val="BodyText"/>
      </w:pPr>
      <w:r>
        <w:t>There is legislation for all three statutory debt solutions in Scotland as well as the duties and functions of the AiB. The statute relating to personal insolvency is within the Bankruptcy (Scotland) Act 2016 (“the 2016 Act”) and associated regulations.</w:t>
      </w:r>
    </w:p>
    <w:p w14:paraId="6D8F8648" w14:textId="77777777" w:rsidR="004C3088" w:rsidRDefault="002556CC">
      <w:pPr>
        <w:pStyle w:val="BodyText"/>
      </w:pPr>
      <w:r>
        <w:t>Bankruptcy legislation has evolved over many years. The Bankruptcy and Diligence Act 2007 introduced reforms from 2008 introduced:</w:t>
      </w:r>
    </w:p>
    <w:p w14:paraId="361F663A" w14:textId="77777777" w:rsidR="004C3088" w:rsidRDefault="002556CC">
      <w:pPr>
        <w:pStyle w:val="Compact"/>
        <w:numPr>
          <w:ilvl w:val="0"/>
          <w:numId w:val="7"/>
        </w:numPr>
      </w:pPr>
      <w:r>
        <w:t>self-nominated bankruptcy by application to AiB and;</w:t>
      </w:r>
    </w:p>
    <w:p w14:paraId="6DA19277" w14:textId="77777777" w:rsidR="004C3088" w:rsidRDefault="002556CC">
      <w:pPr>
        <w:pStyle w:val="Compact"/>
        <w:numPr>
          <w:ilvl w:val="0"/>
          <w:numId w:val="7"/>
        </w:numPr>
      </w:pPr>
      <w:r>
        <w:t>a new access route through Low Income Low Asset (LILA) bankruptcy.</w:t>
      </w:r>
    </w:p>
    <w:p w14:paraId="6A7CBF70" w14:textId="77777777" w:rsidR="004C3088" w:rsidRDefault="002556CC">
      <w:pPr>
        <w:pStyle w:val="FirstParagraph"/>
      </w:pPr>
      <w:r>
        <w:t>This streamlined the bankruptcy process for individuals on low income and with very few assets. The Bankruptcy and Debt Advice (Scotland) Act 2014 (“BADA(S)”) replaced LILA with Minimal Asset Process (MAP) bankruptcy. This took effect from 1 April 2015 and introduced more flexible entry criteria and a lower application fee.</w:t>
      </w:r>
    </w:p>
    <w:p w14:paraId="4EC90E38" w14:textId="77777777" w:rsidR="004C3088" w:rsidRDefault="002556CC">
      <w:pPr>
        <w:pStyle w:val="BodyText"/>
      </w:pPr>
      <w:r>
        <w:t>BADA(S) introduced the need for money advice before self-nominated bankruptcy. This placed advice as an essential part of all statutory debt solutions in Scotland. The 2016 Act simplified and consolidated previous statutes into one piece of legislation. This included the main statutory provisions for Protected Trust Deeds in primary legislation. Before, most of this was in secondary legislation through the Protected Trust Deeds (Scotland) Regulations 2013.</w:t>
      </w:r>
    </w:p>
    <w:p w14:paraId="12334EB7" w14:textId="77777777" w:rsidR="004C3088" w:rsidRDefault="004C3088">
      <w:pPr>
        <w:pStyle w:val="BodyText"/>
      </w:pPr>
    </w:p>
    <w:p w14:paraId="555F8A30" w14:textId="77777777" w:rsidR="004C3088" w:rsidRDefault="002556CC">
      <w:pPr>
        <w:pStyle w:val="Heading4"/>
      </w:pPr>
      <w:bookmarkStart w:id="50" w:name="corporate-insolvency-1"/>
      <w:r>
        <w:t>Corporate Insolvency</w:t>
      </w:r>
      <w:bookmarkEnd w:id="50"/>
    </w:p>
    <w:p w14:paraId="4D4526C2" w14:textId="77777777" w:rsidR="004C3088" w:rsidRDefault="002556CC">
      <w:pPr>
        <w:pStyle w:val="FirstParagraph"/>
      </w:pPr>
      <w:r>
        <w:t>The Insolvency Act 1986 is the primary legislation covering UK Corporate Insolvency. There is secondary legislation which applies only in Scotland. They are:</w:t>
      </w:r>
    </w:p>
    <w:p w14:paraId="70ECB9B7" w14:textId="77777777" w:rsidR="004C3088" w:rsidRDefault="002556CC">
      <w:pPr>
        <w:pStyle w:val="Compact"/>
        <w:numPr>
          <w:ilvl w:val="0"/>
          <w:numId w:val="8"/>
        </w:numPr>
      </w:pPr>
      <w:r>
        <w:t>the Insolvency (Scotland) (Receivership and Winding Up) Rules 2018 and;</w:t>
      </w:r>
    </w:p>
    <w:p w14:paraId="449D8822" w14:textId="77777777" w:rsidR="004C3088" w:rsidRDefault="002556CC">
      <w:pPr>
        <w:pStyle w:val="Compact"/>
        <w:numPr>
          <w:ilvl w:val="0"/>
          <w:numId w:val="8"/>
        </w:numPr>
      </w:pPr>
      <w:r>
        <w:t>the Insolvency (Scotland) (Company Voluntary Arrangement and Administration) Rules 2018.</w:t>
      </w:r>
    </w:p>
    <w:p w14:paraId="6A7C547E" w14:textId="77777777" w:rsidR="004C3088" w:rsidRDefault="002556CC">
      <w:pPr>
        <w:pStyle w:val="FirstParagraph"/>
      </w:pPr>
      <w:r>
        <w:t>These rules replaced the Insolvency (Scotland) Rules 1986. AiB receives, extracts and records information from documents about company liquidations and receiverships.</w:t>
      </w:r>
    </w:p>
    <w:p w14:paraId="3EC2654D" w14:textId="77777777" w:rsidR="004C3088" w:rsidRDefault="004C3088">
      <w:pPr>
        <w:pStyle w:val="BodyText"/>
      </w:pPr>
    </w:p>
    <w:p w14:paraId="42B51AA8" w14:textId="77777777" w:rsidR="004C3088" w:rsidRDefault="002556CC">
      <w:pPr>
        <w:pStyle w:val="Heading3"/>
      </w:pPr>
      <w:bookmarkStart w:id="51" w:name="debt-arrangement-scheme-legislation"/>
      <w:r>
        <w:t>Debt Arrangement Scheme legislation</w:t>
      </w:r>
      <w:bookmarkEnd w:id="51"/>
    </w:p>
    <w:p w14:paraId="38CC7726" w14:textId="77777777" w:rsidR="004C3088" w:rsidRDefault="002556CC">
      <w:pPr>
        <w:pStyle w:val="FirstParagraph"/>
      </w:pPr>
      <w:r>
        <w:t>AiB administers the Debt Arrangement Scheme (DAS). A Debt Payment Programme (DPP) under DAS allows individuals to repay debts over an extended period. It provides protection from creditor enforcement. It also safeguards assets including their home as long as mortgage payments are maintained.</w:t>
      </w:r>
    </w:p>
    <w:p w14:paraId="1703B7A9" w14:textId="77777777" w:rsidR="004C3088" w:rsidRDefault="002556CC">
      <w:pPr>
        <w:pStyle w:val="BodyText"/>
      </w:pPr>
      <w:r>
        <w:t>A DPP under DAS can last for any period of time agreed by creditors or deemed fair and reasonable. If approved, it will freeze all interest, fees and charges on the debt included. This results in them being waived on successful completion of the programme.</w:t>
      </w:r>
    </w:p>
    <w:p w14:paraId="04A9937B" w14:textId="77777777" w:rsidR="004C3088" w:rsidRDefault="002556CC">
      <w:pPr>
        <w:pStyle w:val="BodyText"/>
      </w:pPr>
      <w:r>
        <w:t>DAS law is under the Debt Arrangement and Attachment (Scotland) Act 2002 and associated regulations - the Debt Arrangement Scheme (Scotland) Regulations 2011.</w:t>
      </w:r>
    </w:p>
    <w:p w14:paraId="788B9B4A" w14:textId="77777777" w:rsidR="004C3088" w:rsidRDefault="002556CC">
      <w:pPr>
        <w:pStyle w:val="BodyText"/>
      </w:pPr>
      <w:r>
        <w:t>The Debt Arrangement Scheme (Scotland) Amendment Regulations 2019 came into force in November 2019. These introduced some important reforms and are the most recent DAS regulations. In particular, they removed any fees payable by a debtor for advice provision. They also introduced revised fee structures and arrangements for payments distribution to creditors.</w:t>
      </w:r>
    </w:p>
    <w:p w14:paraId="1ED15C46" w14:textId="77777777" w:rsidR="004C3088" w:rsidRDefault="004C3088">
      <w:pPr>
        <w:pStyle w:val="BodyText"/>
      </w:pPr>
    </w:p>
    <w:p w14:paraId="60CD9C9B" w14:textId="77777777" w:rsidR="004C3088" w:rsidRDefault="002556CC">
      <w:pPr>
        <w:pStyle w:val="Heading3"/>
      </w:pPr>
      <w:bookmarkStart w:id="52" w:name="coronavirus-legislation"/>
      <w:r>
        <w:t>Coronavirus Legislation</w:t>
      </w:r>
      <w:bookmarkEnd w:id="52"/>
    </w:p>
    <w:p w14:paraId="4AFDC278" w14:textId="77777777" w:rsidR="004C3088" w:rsidRDefault="002556CC">
      <w:pPr>
        <w:pStyle w:val="FirstParagraph"/>
      </w:pPr>
      <w:r>
        <w:t>The Coronavirus (Scotland) Act 2020 and the Coronavirus (Scotland) (No. 2) Act 2020 were introduced by the Scottish Government. This was in response to the emergency situation caused by the COVID-19 pandemic. Both Acts included temporary measures which impact on insolvency legislation. This was deemed necessary to:</w:t>
      </w:r>
    </w:p>
    <w:p w14:paraId="041A5F79" w14:textId="77777777" w:rsidR="004C3088" w:rsidRDefault="002556CC">
      <w:pPr>
        <w:pStyle w:val="Compact"/>
        <w:numPr>
          <w:ilvl w:val="0"/>
          <w:numId w:val="9"/>
        </w:numPr>
      </w:pPr>
      <w:r>
        <w:t>strengthen debtor protections at that time;</w:t>
      </w:r>
    </w:p>
    <w:p w14:paraId="02CD4B53" w14:textId="77777777" w:rsidR="004C3088" w:rsidRDefault="002556CC">
      <w:pPr>
        <w:pStyle w:val="Compact"/>
        <w:numPr>
          <w:ilvl w:val="0"/>
          <w:numId w:val="9"/>
        </w:numPr>
      </w:pPr>
      <w:r>
        <w:t>solve operational problems caused by the pandemic and;</w:t>
      </w:r>
    </w:p>
    <w:p w14:paraId="18CF62A1" w14:textId="77777777" w:rsidR="004C3088" w:rsidRDefault="002556CC">
      <w:pPr>
        <w:pStyle w:val="Compact"/>
        <w:numPr>
          <w:ilvl w:val="0"/>
          <w:numId w:val="9"/>
        </w:numPr>
      </w:pPr>
      <w:r>
        <w:t>ensure the system was well-equipped to deal with any surge in demand caused by the pandemic.</w:t>
      </w:r>
    </w:p>
    <w:p w14:paraId="67078C29" w14:textId="77777777" w:rsidR="004C3088" w:rsidRDefault="004C3088">
      <w:pPr>
        <w:pStyle w:val="FirstParagraph"/>
      </w:pPr>
    </w:p>
    <w:p w14:paraId="2798F14A" w14:textId="77777777" w:rsidR="004C3088" w:rsidRDefault="002556CC">
      <w:pPr>
        <w:pStyle w:val="Heading4"/>
      </w:pPr>
      <w:bookmarkStart w:id="53" w:name="coronavirus-scotland-act-2020"/>
      <w:r>
        <w:t>Coronavirus (Scotland) Act 2020</w:t>
      </w:r>
      <w:bookmarkEnd w:id="53"/>
    </w:p>
    <w:p w14:paraId="316D690B" w14:textId="77777777" w:rsidR="004C3088" w:rsidRDefault="002556CC">
      <w:pPr>
        <w:pStyle w:val="FirstParagraph"/>
      </w:pPr>
      <w:r>
        <w:t>This Act increased the length of the moratorium period from 6 weeks to 6 months. During a moratorium a debtor is protected from creditor debt enforcement. This gives debtors a chance to take advice and consider the best solution for problem debt.</w:t>
      </w:r>
    </w:p>
    <w:p w14:paraId="4D639793" w14:textId="77777777" w:rsidR="004C3088" w:rsidRDefault="002556CC">
      <w:pPr>
        <w:pStyle w:val="BodyText"/>
      </w:pPr>
      <w:r>
        <w:t>The Act also temporarily allowed more than one moratorium in any 12 month period. This enabled access to protection for those that had a previous moratorium.</w:t>
      </w:r>
    </w:p>
    <w:p w14:paraId="00BAAE4F" w14:textId="77777777" w:rsidR="004C3088" w:rsidRDefault="004C3088">
      <w:pPr>
        <w:pStyle w:val="BodyText"/>
      </w:pPr>
    </w:p>
    <w:p w14:paraId="14BDC041" w14:textId="77777777" w:rsidR="004C3088" w:rsidRDefault="002556CC">
      <w:pPr>
        <w:pStyle w:val="Heading4"/>
      </w:pPr>
      <w:bookmarkStart w:id="54" w:name="coronavirus-scotland-no.-2-act-2020"/>
      <w:r>
        <w:t>Coronavirus (Scotland) (No. 2) Act 2020</w:t>
      </w:r>
      <w:bookmarkEnd w:id="54"/>
    </w:p>
    <w:p w14:paraId="4E852FE4" w14:textId="77777777" w:rsidR="004C3088" w:rsidRDefault="002556CC">
      <w:pPr>
        <w:pStyle w:val="FirstParagraph"/>
      </w:pPr>
      <w:r>
        <w:t>This Act made several temporary changes to bankruptcy legislation. Some of these changes focused on the operational aspect of bankruptcy. This was to ensure efficiency and flexibility in bankruptcy administration during the COVID-19 pandemic. These changes included:</w:t>
      </w:r>
    </w:p>
    <w:p w14:paraId="668B1E99" w14:textId="77777777" w:rsidR="004C3088" w:rsidRDefault="002556CC">
      <w:pPr>
        <w:pStyle w:val="Compact"/>
        <w:numPr>
          <w:ilvl w:val="0"/>
          <w:numId w:val="10"/>
        </w:numPr>
      </w:pPr>
      <w:r>
        <w:t>allowing the electronic signing and service of documents;</w:t>
      </w:r>
    </w:p>
    <w:p w14:paraId="0221B0CC" w14:textId="77777777" w:rsidR="004C3088" w:rsidRDefault="002556CC">
      <w:pPr>
        <w:pStyle w:val="Compact"/>
        <w:numPr>
          <w:ilvl w:val="0"/>
          <w:numId w:val="10"/>
        </w:numPr>
      </w:pPr>
      <w:r>
        <w:t>increasing the deadline for submitting Debtor Contribution Order proposals and;</w:t>
      </w:r>
    </w:p>
    <w:p w14:paraId="61883416" w14:textId="77777777" w:rsidR="004C3088" w:rsidRDefault="002556CC">
      <w:pPr>
        <w:pStyle w:val="Compact"/>
        <w:numPr>
          <w:ilvl w:val="0"/>
          <w:numId w:val="10"/>
        </w:numPr>
      </w:pPr>
      <w:r>
        <w:t>allowing for virtual creditor meetings in bankruptcy.</w:t>
      </w:r>
    </w:p>
    <w:p w14:paraId="41430FC1" w14:textId="77777777" w:rsidR="004C3088" w:rsidRDefault="002556CC">
      <w:pPr>
        <w:pStyle w:val="FirstParagraph"/>
      </w:pPr>
      <w:r>
        <w:t>The debt threshold for MAP bankruptcy eligibility increased from £17,000 to £25,000. Student loan debt was removed from contributing to this calculation. The Act provided lower cost access in debtor application bankruptcy. Debtor application costs for Full Administration reduced from £200 to £150. MAP application fees reduced from £90 to £50. Fees were removed for those in receipt of certain prescribed benefits.</w:t>
      </w:r>
    </w:p>
    <w:p w14:paraId="44C02ED6" w14:textId="77777777" w:rsidR="004C3088" w:rsidRDefault="002556CC">
      <w:pPr>
        <w:pStyle w:val="BodyText"/>
      </w:pPr>
      <w:r>
        <w:t>The Act changed the eligibility criteria for a creditor to petition for sequestration. The amount of money owed to creditor(s) to be “qualified” to raise proceedings was increased from £3,000 to £10,000.</w:t>
      </w:r>
    </w:p>
    <w:p w14:paraId="1BD1ABC6" w14:textId="77777777" w:rsidR="004C3088" w:rsidRDefault="004C3088">
      <w:pPr>
        <w:pStyle w:val="BodyText"/>
      </w:pPr>
    </w:p>
    <w:p w14:paraId="55B79136" w14:textId="77777777" w:rsidR="004C3088" w:rsidRDefault="002556CC">
      <w:pPr>
        <w:pStyle w:val="Heading4"/>
      </w:pPr>
      <w:bookmarkStart w:id="55" w:name="expiry-of-coronavirus-acts"/>
      <w:r>
        <w:t>Expiry of Coronavirus Acts</w:t>
      </w:r>
      <w:bookmarkEnd w:id="55"/>
    </w:p>
    <w:p w14:paraId="7E4AACFD" w14:textId="77777777" w:rsidR="004C3088" w:rsidRDefault="002556CC">
      <w:pPr>
        <w:pStyle w:val="FirstParagraph"/>
      </w:pPr>
      <w:r>
        <w:t>The Bankruptcy (Miscellaneous Amendment) (Scotland) Regulations 2021 (the “2021 Regulations”) came into force in March 2021. These Regulations brought forward the expiry of some of measures in the Coronavirus (Scotland) (No.2) Act 2020 by replacing them with permanent provisions. The provisions aim to streamline the bankruptcy administration process. This improved access to MAP bankruptcy and reduced the cost of accessing bankruptcy.</w:t>
      </w:r>
    </w:p>
    <w:p w14:paraId="11DB6717" w14:textId="77777777" w:rsidR="004C3088" w:rsidRDefault="002556CC">
      <w:pPr>
        <w:pStyle w:val="BodyText"/>
      </w:pPr>
      <w:r>
        <w:t>In particular, these regulations amended the 2016 Act and associated regulations to:</w:t>
      </w:r>
    </w:p>
    <w:p w14:paraId="290E9687" w14:textId="77777777" w:rsidR="004C3088" w:rsidRDefault="002556CC">
      <w:pPr>
        <w:pStyle w:val="Compact"/>
        <w:numPr>
          <w:ilvl w:val="0"/>
          <w:numId w:val="11"/>
        </w:numPr>
      </w:pPr>
      <w:r>
        <w:t>reduce all bankruptcy debtor application fees;</w:t>
      </w:r>
    </w:p>
    <w:p w14:paraId="2FB18339" w14:textId="77777777" w:rsidR="004C3088" w:rsidRDefault="002556CC">
      <w:pPr>
        <w:pStyle w:val="Compact"/>
        <w:numPr>
          <w:ilvl w:val="0"/>
          <w:numId w:val="11"/>
        </w:numPr>
      </w:pPr>
      <w:r>
        <w:t>remove application fees completely for those in receipt of certain prescribed benefits;</w:t>
      </w:r>
    </w:p>
    <w:p w14:paraId="4803F4CD" w14:textId="77777777" w:rsidR="004C3088" w:rsidRDefault="002556CC">
      <w:pPr>
        <w:pStyle w:val="Compact"/>
        <w:numPr>
          <w:ilvl w:val="0"/>
          <w:numId w:val="11"/>
        </w:numPr>
      </w:pPr>
      <w:r>
        <w:t>increase the debt threshold for eligibility for MAP to £25,000</w:t>
      </w:r>
    </w:p>
    <w:p w14:paraId="5AD3472B" w14:textId="77777777" w:rsidR="004C3088" w:rsidRDefault="002556CC">
      <w:pPr>
        <w:pStyle w:val="Compact"/>
        <w:numPr>
          <w:ilvl w:val="0"/>
          <w:numId w:val="11"/>
        </w:numPr>
      </w:pPr>
      <w:r>
        <w:t>remove student loan debt from the eligibility calculation;</w:t>
      </w:r>
    </w:p>
    <w:p w14:paraId="765E2FA2" w14:textId="77777777" w:rsidR="004C3088" w:rsidRDefault="002556CC">
      <w:pPr>
        <w:pStyle w:val="Compact"/>
        <w:numPr>
          <w:ilvl w:val="0"/>
          <w:numId w:val="11"/>
        </w:numPr>
      </w:pPr>
      <w:r>
        <w:t>allow the electronic signature of bankruptcy forms;</w:t>
      </w:r>
    </w:p>
    <w:p w14:paraId="16565317" w14:textId="77777777" w:rsidR="004C3088" w:rsidRDefault="002556CC">
      <w:pPr>
        <w:pStyle w:val="Compact"/>
        <w:numPr>
          <w:ilvl w:val="0"/>
          <w:numId w:val="11"/>
        </w:numPr>
      </w:pPr>
      <w:r>
        <w:t>provide trustees twelve weeks to submit Debtor Contribution Order proposals.</w:t>
      </w:r>
    </w:p>
    <w:p w14:paraId="08BE48F0" w14:textId="77777777" w:rsidR="004C3088" w:rsidRDefault="002556CC">
      <w:pPr>
        <w:pStyle w:val="FirstParagraph"/>
      </w:pPr>
      <w:r>
        <w:t>The remaining provisions were extended until 30 September 2022.</w:t>
      </w:r>
    </w:p>
    <w:p w14:paraId="0700DFC8" w14:textId="77777777" w:rsidR="004C3088" w:rsidRDefault="002556CC">
      <w:pPr>
        <w:pStyle w:val="BodyText"/>
      </w:pPr>
      <w:r>
        <w:t>The provision allowing more than one moratorium in any 12 month period was not extended. This measure expired on 30 September 2021. The original provision in the 2016 Act is now reinstated. Only one moratorium application is permitted within 12 months.</w:t>
      </w:r>
    </w:p>
    <w:p w14:paraId="47959ECC" w14:textId="77777777" w:rsidR="004C3088" w:rsidRDefault="004C3088">
      <w:pPr>
        <w:pStyle w:val="BodyText"/>
      </w:pPr>
    </w:p>
    <w:p w14:paraId="51F9D937" w14:textId="77777777" w:rsidR="004C3088" w:rsidRDefault="002556CC">
      <w:pPr>
        <w:pStyle w:val="Heading4"/>
      </w:pPr>
      <w:bookmarkStart w:id="56" w:name="Xdee8409646afb05009a30c1e782b204429d30f4"/>
      <w:r>
        <w:t>Coronavirus (Recovery and Reform) (Scotland) Act</w:t>
      </w:r>
      <w:bookmarkEnd w:id="56"/>
    </w:p>
    <w:p w14:paraId="790EFC67" w14:textId="77777777" w:rsidR="004C3088" w:rsidRDefault="002556CC">
      <w:pPr>
        <w:pStyle w:val="FirstParagraph"/>
      </w:pPr>
      <w:r>
        <w:t>The moratorium and bankruptcy parts of the Coronavirus (Recovery and Reform) (Scotland) Act commenced on 1 October 2022. These include:</w:t>
      </w:r>
    </w:p>
    <w:p w14:paraId="4EF5EB10" w14:textId="77777777" w:rsidR="004C3088" w:rsidRDefault="002556CC">
      <w:pPr>
        <w:pStyle w:val="Compact"/>
        <w:numPr>
          <w:ilvl w:val="0"/>
          <w:numId w:val="12"/>
        </w:numPr>
      </w:pPr>
      <w:r>
        <w:t>modernising provisions that enable electronic delivery of documents and;</w:t>
      </w:r>
    </w:p>
    <w:p w14:paraId="4B47912A" w14:textId="77777777" w:rsidR="004C3088" w:rsidRDefault="002556CC">
      <w:pPr>
        <w:pStyle w:val="Compact"/>
        <w:numPr>
          <w:ilvl w:val="0"/>
          <w:numId w:val="12"/>
        </w:numPr>
      </w:pPr>
      <w:r>
        <w:t>allowing remote meetings of creditors in bankruptcy proceedings.</w:t>
      </w:r>
    </w:p>
    <w:p w14:paraId="1398D59F" w14:textId="77777777" w:rsidR="004C3088" w:rsidRDefault="002556CC">
      <w:pPr>
        <w:pStyle w:val="FirstParagraph"/>
      </w:pPr>
      <w:r>
        <w:t>The Act provides more protections for those dealing with problem debt. It amends the debt level creditor(s) must be owed to be “qualified” to raise proceedings to £5,000. The Act fixes the period of protection provided by the moratorium period at 6 months. Before the temporary provisions, the protection period was fixed at 6 weeks.</w:t>
      </w:r>
    </w:p>
    <w:p w14:paraId="6947F4AC" w14:textId="77777777" w:rsidR="004C3088" w:rsidRDefault="004C3088">
      <w:pPr>
        <w:pStyle w:val="BodyText"/>
      </w:pPr>
    </w:p>
    <w:p w14:paraId="0882685E" w14:textId="77777777" w:rsidR="004C3088" w:rsidRDefault="002556CC">
      <w:pPr>
        <w:pStyle w:val="Heading4"/>
      </w:pPr>
      <w:bookmarkStart w:id="57" w:name="X81af430f3a5a3765db533045dbffd55a0607d16"/>
      <w:r>
        <w:t>The Bankruptcy and Debt Arrangement Scheme (Miscellaneous Amendment) Regulations 2023</w:t>
      </w:r>
      <w:bookmarkEnd w:id="57"/>
    </w:p>
    <w:p w14:paraId="0DEA979F" w14:textId="77777777" w:rsidR="004C3088" w:rsidRDefault="002556CC">
      <w:pPr>
        <w:pStyle w:val="FirstParagraph"/>
      </w:pPr>
      <w:r>
        <w:t>The Bankruptcy and Debt Arrangement Scheme (Miscellaneous Amendment) Regulations 2023 came into force on the 6 February 2023. The provisions included in the regulations were brought in to help with the current cost crisis.</w:t>
      </w:r>
    </w:p>
    <w:p w14:paraId="7BC76E73" w14:textId="77777777" w:rsidR="004C3088" w:rsidRDefault="002556CC">
      <w:pPr>
        <w:pStyle w:val="BodyText"/>
      </w:pPr>
      <w:r>
        <w:t>Changes to bankruptcy legislation include:</w:t>
      </w:r>
    </w:p>
    <w:p w14:paraId="2CE51AC1" w14:textId="77777777" w:rsidR="004C3088" w:rsidRDefault="002556CC">
      <w:pPr>
        <w:pStyle w:val="Compact"/>
        <w:numPr>
          <w:ilvl w:val="0"/>
          <w:numId w:val="13"/>
        </w:numPr>
      </w:pPr>
      <w:r>
        <w:t>the removal of the minimum debt level to access Minimal Asset Process bankruptcy;</w:t>
      </w:r>
    </w:p>
    <w:p w14:paraId="6C402405" w14:textId="77777777" w:rsidR="004C3088" w:rsidRDefault="002556CC">
      <w:pPr>
        <w:pStyle w:val="Compact"/>
        <w:numPr>
          <w:ilvl w:val="0"/>
          <w:numId w:val="13"/>
        </w:numPr>
      </w:pPr>
      <w:r>
        <w:t>the removal of application fee requirements for bankruptcy if the applicant is assess by the Common Financial Tool as having no surplus income;</w:t>
      </w:r>
    </w:p>
    <w:p w14:paraId="73B2BFB6" w14:textId="77777777" w:rsidR="004C3088" w:rsidRDefault="002556CC">
      <w:pPr>
        <w:pStyle w:val="Compact"/>
        <w:numPr>
          <w:ilvl w:val="0"/>
          <w:numId w:val="13"/>
        </w:numPr>
      </w:pPr>
      <w:r>
        <w:t>increases to the deposit paid by creditors from £300 to £750 where AiB is nominated as trustee in a creditor petition bankruptcy.</w:t>
      </w:r>
    </w:p>
    <w:p w14:paraId="2B71988A" w14:textId="77777777" w:rsidR="004C3088" w:rsidRDefault="002556CC">
      <w:pPr>
        <w:pStyle w:val="FirstParagraph"/>
      </w:pPr>
      <w:r>
        <w:t>For the Debt Arrangement Scheme, measures amended the payment break process so that an application could be made where there was a 50% reduction in disposable income where it is considered that the reduction will last for the period of the break, and the circumstances previously required for a payment break were removed.</w:t>
      </w:r>
    </w:p>
    <w:p w14:paraId="3FF59D81" w14:textId="77777777" w:rsidR="004C3088" w:rsidRDefault="004C3088">
      <w:pPr>
        <w:pStyle w:val="BodyText"/>
      </w:pPr>
    </w:p>
    <w:p w14:paraId="4CA8409E" w14:textId="77777777" w:rsidR="004C3088" w:rsidRDefault="002556CC">
      <w:pPr>
        <w:pStyle w:val="Heading2"/>
      </w:pPr>
      <w:bookmarkStart w:id="58" w:name="glossary"/>
      <w:bookmarkStart w:id="59" w:name="_Toc142064479"/>
      <w:r>
        <w:t>Glossary</w:t>
      </w:r>
      <w:bookmarkEnd w:id="58"/>
      <w:bookmarkEnd w:id="59"/>
    </w:p>
    <w:tbl>
      <w:tblPr>
        <w:tblW w:w="5000" w:type="pct"/>
        <w:jc w:val="center"/>
        <w:tblLook w:val="04A0" w:firstRow="1" w:lastRow="0" w:firstColumn="1" w:lastColumn="0" w:noHBand="0" w:noVBand="1"/>
      </w:tblPr>
      <w:tblGrid>
        <w:gridCol w:w="3121"/>
        <w:gridCol w:w="6239"/>
      </w:tblGrid>
      <w:tr w:rsidR="004C3088" w:rsidRPr="002556CC" w14:paraId="22D03A3F" w14:textId="77777777" w:rsidTr="002556CC">
        <w:trPr>
          <w:cantSplit/>
          <w:trHeight w:hRule="exact" w:val="1008"/>
          <w:tblHeader/>
          <w:jc w:val="center"/>
        </w:trPr>
        <w:tc>
          <w:tcPr>
            <w:tcW w:w="1667" w:type="pct"/>
            <w:tcBorders>
              <w:bottom w:val="single" w:sz="8" w:space="0" w:color="BEBEBE"/>
            </w:tcBorders>
            <w:shd w:val="clear" w:color="auto" w:fill="FFFFFF"/>
            <w:tcMar>
              <w:top w:w="0" w:type="dxa"/>
              <w:left w:w="0" w:type="dxa"/>
              <w:bottom w:w="0" w:type="dxa"/>
              <w:right w:w="0" w:type="dxa"/>
            </w:tcMar>
            <w:vAlign w:val="center"/>
          </w:tcPr>
          <w:p w14:paraId="6DC3D6AC"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b/>
                <w:color w:val="111111"/>
                <w:sz w:val="22"/>
                <w:szCs w:val="22"/>
              </w:rPr>
              <w:t>Term</w:t>
            </w:r>
          </w:p>
        </w:tc>
        <w:tc>
          <w:tcPr>
            <w:tcW w:w="3333" w:type="pct"/>
            <w:tcBorders>
              <w:bottom w:val="single" w:sz="8" w:space="0" w:color="BEBEBE"/>
            </w:tcBorders>
            <w:shd w:val="clear" w:color="auto" w:fill="FFFFFF"/>
            <w:tcMar>
              <w:top w:w="0" w:type="dxa"/>
              <w:left w:w="0" w:type="dxa"/>
              <w:bottom w:w="0" w:type="dxa"/>
              <w:right w:w="0" w:type="dxa"/>
            </w:tcMar>
            <w:vAlign w:val="center"/>
          </w:tcPr>
          <w:p w14:paraId="0D0F6632"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b/>
                <w:color w:val="111111"/>
                <w:sz w:val="22"/>
                <w:szCs w:val="22"/>
              </w:rPr>
              <w:t>Definition</w:t>
            </w:r>
          </w:p>
        </w:tc>
      </w:tr>
      <w:tr w:rsidR="004C3088" w:rsidRPr="002556CC" w14:paraId="6CAC0B34" w14:textId="77777777" w:rsidTr="002556CC">
        <w:trPr>
          <w:cantSplit/>
          <w:jc w:val="center"/>
        </w:trPr>
        <w:tc>
          <w:tcPr>
            <w:tcW w:w="1667" w:type="pct"/>
            <w:shd w:val="clear" w:color="auto" w:fill="FFFFFF"/>
            <w:tcMar>
              <w:top w:w="0" w:type="dxa"/>
              <w:left w:w="0" w:type="dxa"/>
              <w:bottom w:w="0" w:type="dxa"/>
              <w:right w:w="0" w:type="dxa"/>
            </w:tcMar>
          </w:tcPr>
          <w:p w14:paraId="29575190"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Apparent Insolvency (AI)</w:t>
            </w:r>
          </w:p>
        </w:tc>
        <w:tc>
          <w:tcPr>
            <w:tcW w:w="3333" w:type="pct"/>
            <w:shd w:val="clear" w:color="auto" w:fill="FFFFFF"/>
            <w:tcMar>
              <w:top w:w="0" w:type="dxa"/>
              <w:left w:w="0" w:type="dxa"/>
              <w:bottom w:w="0" w:type="dxa"/>
              <w:right w:w="0" w:type="dxa"/>
            </w:tcMar>
          </w:tcPr>
          <w:p w14:paraId="15E0D084"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A legal term that means you are unable to pay your debts and that at least one of your creditors has taken legal action against you.</w:t>
            </w:r>
          </w:p>
        </w:tc>
      </w:tr>
      <w:tr w:rsidR="004C3088" w:rsidRPr="002556CC" w14:paraId="683F5402" w14:textId="77777777" w:rsidTr="002556CC">
        <w:trPr>
          <w:cantSplit/>
          <w:jc w:val="center"/>
        </w:trPr>
        <w:tc>
          <w:tcPr>
            <w:tcW w:w="1667" w:type="pct"/>
            <w:shd w:val="clear" w:color="auto" w:fill="FFFFFF"/>
            <w:tcMar>
              <w:top w:w="0" w:type="dxa"/>
              <w:left w:w="0" w:type="dxa"/>
              <w:bottom w:w="0" w:type="dxa"/>
              <w:right w:w="0" w:type="dxa"/>
            </w:tcMar>
          </w:tcPr>
          <w:p w14:paraId="1F36AD06"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Bankruptcy</w:t>
            </w:r>
          </w:p>
        </w:tc>
        <w:tc>
          <w:tcPr>
            <w:tcW w:w="3333" w:type="pct"/>
            <w:shd w:val="clear" w:color="auto" w:fill="FFFFFF"/>
            <w:tcMar>
              <w:top w:w="0" w:type="dxa"/>
              <w:left w:w="0" w:type="dxa"/>
              <w:bottom w:w="0" w:type="dxa"/>
              <w:right w:w="0" w:type="dxa"/>
            </w:tcMar>
          </w:tcPr>
          <w:p w14:paraId="0F987EA6"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Formal court process which transfers your property to a trustee.</w:t>
            </w:r>
          </w:p>
        </w:tc>
      </w:tr>
      <w:tr w:rsidR="004C3088" w:rsidRPr="002556CC" w14:paraId="3F721CE5" w14:textId="77777777" w:rsidTr="002556CC">
        <w:trPr>
          <w:cantSplit/>
          <w:jc w:val="center"/>
        </w:trPr>
        <w:tc>
          <w:tcPr>
            <w:tcW w:w="1667" w:type="pct"/>
            <w:shd w:val="clear" w:color="auto" w:fill="FFFFFF"/>
            <w:tcMar>
              <w:top w:w="0" w:type="dxa"/>
              <w:left w:w="0" w:type="dxa"/>
              <w:bottom w:w="0" w:type="dxa"/>
              <w:right w:w="0" w:type="dxa"/>
            </w:tcMar>
          </w:tcPr>
          <w:p w14:paraId="6086C949"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Certificate for Sequestration</w:t>
            </w:r>
          </w:p>
        </w:tc>
        <w:tc>
          <w:tcPr>
            <w:tcW w:w="3333" w:type="pct"/>
            <w:shd w:val="clear" w:color="auto" w:fill="FFFFFF"/>
            <w:tcMar>
              <w:top w:w="0" w:type="dxa"/>
              <w:left w:w="0" w:type="dxa"/>
              <w:bottom w:w="0" w:type="dxa"/>
              <w:right w:w="0" w:type="dxa"/>
            </w:tcMar>
          </w:tcPr>
          <w:p w14:paraId="2DE4D953"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The Certificate for Sequestration is issued to a debtor by a Money Adviser or Insolvency Practitioner and serves as written proof of their insolvency and qualification for bankruptcy.</w:t>
            </w:r>
          </w:p>
        </w:tc>
      </w:tr>
      <w:tr w:rsidR="004C3088" w:rsidRPr="002556CC" w14:paraId="529F80E2" w14:textId="77777777" w:rsidTr="002556CC">
        <w:trPr>
          <w:cantSplit/>
          <w:jc w:val="center"/>
        </w:trPr>
        <w:tc>
          <w:tcPr>
            <w:tcW w:w="1667" w:type="pct"/>
            <w:shd w:val="clear" w:color="auto" w:fill="FFFFFF"/>
            <w:tcMar>
              <w:top w:w="0" w:type="dxa"/>
              <w:left w:w="0" w:type="dxa"/>
              <w:bottom w:w="0" w:type="dxa"/>
              <w:right w:w="0" w:type="dxa"/>
            </w:tcMar>
          </w:tcPr>
          <w:p w14:paraId="17CB4B92"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Compulsory liquidation</w:t>
            </w:r>
          </w:p>
        </w:tc>
        <w:tc>
          <w:tcPr>
            <w:tcW w:w="3333" w:type="pct"/>
            <w:shd w:val="clear" w:color="auto" w:fill="FFFFFF"/>
            <w:tcMar>
              <w:top w:w="0" w:type="dxa"/>
              <w:left w:w="0" w:type="dxa"/>
              <w:bottom w:w="0" w:type="dxa"/>
              <w:right w:w="0" w:type="dxa"/>
            </w:tcMar>
          </w:tcPr>
          <w:p w14:paraId="6D1ED35D"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Compulsory liquidation (or winding up by the court) is a procedure by which the assets of a company are sold, and the proceeds are distributed to the company's creditors. A court order is required to put a company into compulsory liquidation.</w:t>
            </w:r>
          </w:p>
        </w:tc>
      </w:tr>
      <w:tr w:rsidR="004C3088" w:rsidRPr="002556CC" w14:paraId="22D76ABA" w14:textId="77777777" w:rsidTr="002556CC">
        <w:trPr>
          <w:cantSplit/>
          <w:jc w:val="center"/>
        </w:trPr>
        <w:tc>
          <w:tcPr>
            <w:tcW w:w="1667" w:type="pct"/>
            <w:shd w:val="clear" w:color="auto" w:fill="FFFFFF"/>
            <w:tcMar>
              <w:top w:w="0" w:type="dxa"/>
              <w:left w:w="0" w:type="dxa"/>
              <w:bottom w:w="0" w:type="dxa"/>
              <w:right w:w="0" w:type="dxa"/>
            </w:tcMar>
          </w:tcPr>
          <w:p w14:paraId="4C203FBC"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Creditor</w:t>
            </w:r>
          </w:p>
        </w:tc>
        <w:tc>
          <w:tcPr>
            <w:tcW w:w="3333" w:type="pct"/>
            <w:shd w:val="clear" w:color="auto" w:fill="FFFFFF"/>
            <w:tcMar>
              <w:top w:w="0" w:type="dxa"/>
              <w:left w:w="0" w:type="dxa"/>
              <w:bottom w:w="0" w:type="dxa"/>
              <w:right w:w="0" w:type="dxa"/>
            </w:tcMar>
          </w:tcPr>
          <w:p w14:paraId="0C39DCC7"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Any person, business or organisation which is owed money by another.</w:t>
            </w:r>
          </w:p>
        </w:tc>
      </w:tr>
      <w:tr w:rsidR="004C3088" w:rsidRPr="002556CC" w14:paraId="209DE964" w14:textId="77777777" w:rsidTr="002556CC">
        <w:trPr>
          <w:cantSplit/>
          <w:jc w:val="center"/>
        </w:trPr>
        <w:tc>
          <w:tcPr>
            <w:tcW w:w="1667" w:type="pct"/>
            <w:shd w:val="clear" w:color="auto" w:fill="FFFFFF"/>
            <w:tcMar>
              <w:top w:w="0" w:type="dxa"/>
              <w:left w:w="0" w:type="dxa"/>
              <w:bottom w:w="0" w:type="dxa"/>
              <w:right w:w="0" w:type="dxa"/>
            </w:tcMar>
          </w:tcPr>
          <w:p w14:paraId="3D263065"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Creditor petitions</w:t>
            </w:r>
          </w:p>
        </w:tc>
        <w:tc>
          <w:tcPr>
            <w:tcW w:w="3333" w:type="pct"/>
            <w:shd w:val="clear" w:color="auto" w:fill="FFFFFF"/>
            <w:tcMar>
              <w:top w:w="0" w:type="dxa"/>
              <w:left w:w="0" w:type="dxa"/>
              <w:bottom w:w="0" w:type="dxa"/>
              <w:right w:w="0" w:type="dxa"/>
            </w:tcMar>
          </w:tcPr>
          <w:p w14:paraId="7D1B6FD3"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When a creditor who is trying to recoup monies owed to them petitions to have the debtor made bankrupt.</w:t>
            </w:r>
          </w:p>
        </w:tc>
      </w:tr>
      <w:tr w:rsidR="004C3088" w:rsidRPr="002556CC" w14:paraId="619479BF" w14:textId="77777777" w:rsidTr="002556CC">
        <w:trPr>
          <w:cantSplit/>
          <w:jc w:val="center"/>
        </w:trPr>
        <w:tc>
          <w:tcPr>
            <w:tcW w:w="1667" w:type="pct"/>
            <w:shd w:val="clear" w:color="auto" w:fill="FFFFFF"/>
            <w:tcMar>
              <w:top w:w="0" w:type="dxa"/>
              <w:left w:w="0" w:type="dxa"/>
              <w:bottom w:w="0" w:type="dxa"/>
              <w:right w:w="0" w:type="dxa"/>
            </w:tcMar>
          </w:tcPr>
          <w:p w14:paraId="650F5EFE"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Creditors' voluntary liquidations</w:t>
            </w:r>
          </w:p>
        </w:tc>
        <w:tc>
          <w:tcPr>
            <w:tcW w:w="3333" w:type="pct"/>
            <w:shd w:val="clear" w:color="auto" w:fill="FFFFFF"/>
            <w:tcMar>
              <w:top w:w="0" w:type="dxa"/>
              <w:left w:w="0" w:type="dxa"/>
              <w:bottom w:w="0" w:type="dxa"/>
              <w:right w:w="0" w:type="dxa"/>
            </w:tcMar>
          </w:tcPr>
          <w:p w14:paraId="19BC22EC"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A director can propose a creditors’ voluntary liquidation if the company can’t pay its debts (it’s ‘insolvent’) or enough shareholders agree. This means the company will stop trading and be liquidated (‘wound up’).</w:t>
            </w:r>
          </w:p>
        </w:tc>
      </w:tr>
      <w:tr w:rsidR="004C3088" w:rsidRPr="002556CC" w14:paraId="172C4AFF" w14:textId="77777777" w:rsidTr="002556CC">
        <w:trPr>
          <w:cantSplit/>
          <w:jc w:val="center"/>
        </w:trPr>
        <w:tc>
          <w:tcPr>
            <w:tcW w:w="1667" w:type="pct"/>
            <w:shd w:val="clear" w:color="auto" w:fill="FFFFFF"/>
            <w:tcMar>
              <w:top w:w="0" w:type="dxa"/>
              <w:left w:w="0" w:type="dxa"/>
              <w:bottom w:w="0" w:type="dxa"/>
              <w:right w:w="0" w:type="dxa"/>
            </w:tcMar>
          </w:tcPr>
          <w:p w14:paraId="180F6F34"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Debt Arrangement Scheme (DAS)</w:t>
            </w:r>
          </w:p>
        </w:tc>
        <w:tc>
          <w:tcPr>
            <w:tcW w:w="3333" w:type="pct"/>
            <w:shd w:val="clear" w:color="auto" w:fill="FFFFFF"/>
            <w:tcMar>
              <w:top w:w="0" w:type="dxa"/>
              <w:left w:w="0" w:type="dxa"/>
              <w:bottom w:w="0" w:type="dxa"/>
              <w:right w:w="0" w:type="dxa"/>
            </w:tcMar>
          </w:tcPr>
          <w:p w14:paraId="2329D710"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A debt management tool introduced by the Scottish Government and accessed through an approved money advisor. It may help you if you have one or more debts and want to pay what you owe by giving more time for repayments free from the threat of enforcement (diligence) or bankruptcy.</w:t>
            </w:r>
          </w:p>
        </w:tc>
      </w:tr>
      <w:tr w:rsidR="004C3088" w:rsidRPr="002556CC" w14:paraId="4B34FE7C" w14:textId="77777777" w:rsidTr="002556CC">
        <w:trPr>
          <w:cantSplit/>
          <w:jc w:val="center"/>
        </w:trPr>
        <w:tc>
          <w:tcPr>
            <w:tcW w:w="1667" w:type="pct"/>
            <w:shd w:val="clear" w:color="auto" w:fill="FFFFFF"/>
            <w:tcMar>
              <w:top w:w="0" w:type="dxa"/>
              <w:left w:w="0" w:type="dxa"/>
              <w:bottom w:w="0" w:type="dxa"/>
              <w:right w:w="0" w:type="dxa"/>
            </w:tcMar>
          </w:tcPr>
          <w:p w14:paraId="1945C55F"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DAS Debt Payment Programme (DPP)</w:t>
            </w:r>
          </w:p>
        </w:tc>
        <w:tc>
          <w:tcPr>
            <w:tcW w:w="3333" w:type="pct"/>
            <w:shd w:val="clear" w:color="auto" w:fill="FFFFFF"/>
            <w:tcMar>
              <w:top w:w="0" w:type="dxa"/>
              <w:left w:w="0" w:type="dxa"/>
              <w:bottom w:w="0" w:type="dxa"/>
              <w:right w:w="0" w:type="dxa"/>
            </w:tcMar>
          </w:tcPr>
          <w:p w14:paraId="24B191D9"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A proposal that allows a debtor to pay their debt over an extended period of time. The DPP can be for any amount of money or for any reasonable length of time.</w:t>
            </w:r>
          </w:p>
        </w:tc>
      </w:tr>
      <w:tr w:rsidR="004C3088" w:rsidRPr="002556CC" w14:paraId="29A1B246" w14:textId="77777777" w:rsidTr="002556CC">
        <w:trPr>
          <w:cantSplit/>
          <w:jc w:val="center"/>
        </w:trPr>
        <w:tc>
          <w:tcPr>
            <w:tcW w:w="1667" w:type="pct"/>
            <w:shd w:val="clear" w:color="auto" w:fill="FFFFFF"/>
            <w:tcMar>
              <w:top w:w="0" w:type="dxa"/>
              <w:left w:w="0" w:type="dxa"/>
              <w:bottom w:w="0" w:type="dxa"/>
              <w:right w:w="0" w:type="dxa"/>
            </w:tcMar>
          </w:tcPr>
          <w:p w14:paraId="4B13ADEB"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Debtor</w:t>
            </w:r>
          </w:p>
        </w:tc>
        <w:tc>
          <w:tcPr>
            <w:tcW w:w="3333" w:type="pct"/>
            <w:shd w:val="clear" w:color="auto" w:fill="FFFFFF"/>
            <w:tcMar>
              <w:top w:w="0" w:type="dxa"/>
              <w:left w:w="0" w:type="dxa"/>
              <w:bottom w:w="0" w:type="dxa"/>
              <w:right w:w="0" w:type="dxa"/>
            </w:tcMar>
          </w:tcPr>
          <w:p w14:paraId="4D03E62A"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Any person who owes money to another.</w:t>
            </w:r>
          </w:p>
        </w:tc>
      </w:tr>
      <w:tr w:rsidR="004C3088" w:rsidRPr="002556CC" w14:paraId="1F94D0DC" w14:textId="77777777" w:rsidTr="002556CC">
        <w:trPr>
          <w:cantSplit/>
          <w:jc w:val="center"/>
        </w:trPr>
        <w:tc>
          <w:tcPr>
            <w:tcW w:w="1667" w:type="pct"/>
            <w:shd w:val="clear" w:color="auto" w:fill="FFFFFF"/>
            <w:tcMar>
              <w:top w:w="0" w:type="dxa"/>
              <w:left w:w="0" w:type="dxa"/>
              <w:bottom w:w="0" w:type="dxa"/>
              <w:right w:w="0" w:type="dxa"/>
            </w:tcMar>
          </w:tcPr>
          <w:p w14:paraId="3B40F92D"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Debtor applications</w:t>
            </w:r>
          </w:p>
        </w:tc>
        <w:tc>
          <w:tcPr>
            <w:tcW w:w="3333" w:type="pct"/>
            <w:shd w:val="clear" w:color="auto" w:fill="FFFFFF"/>
            <w:tcMar>
              <w:top w:w="0" w:type="dxa"/>
              <w:left w:w="0" w:type="dxa"/>
              <w:bottom w:w="0" w:type="dxa"/>
              <w:right w:w="0" w:type="dxa"/>
            </w:tcMar>
          </w:tcPr>
          <w:p w14:paraId="46A413B5"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When individuals apply for their own bankruptcy.</w:t>
            </w:r>
          </w:p>
        </w:tc>
      </w:tr>
      <w:tr w:rsidR="004C3088" w:rsidRPr="002556CC" w14:paraId="4C3A93FD" w14:textId="77777777" w:rsidTr="002556CC">
        <w:trPr>
          <w:cantSplit/>
          <w:jc w:val="center"/>
        </w:trPr>
        <w:tc>
          <w:tcPr>
            <w:tcW w:w="1667" w:type="pct"/>
            <w:shd w:val="clear" w:color="auto" w:fill="FFFFFF"/>
            <w:tcMar>
              <w:top w:w="0" w:type="dxa"/>
              <w:left w:w="0" w:type="dxa"/>
              <w:bottom w:w="0" w:type="dxa"/>
              <w:right w:w="0" w:type="dxa"/>
            </w:tcMar>
          </w:tcPr>
          <w:p w14:paraId="2B1D540D"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Insolvency</w:t>
            </w:r>
          </w:p>
        </w:tc>
        <w:tc>
          <w:tcPr>
            <w:tcW w:w="3333" w:type="pct"/>
            <w:shd w:val="clear" w:color="auto" w:fill="FFFFFF"/>
            <w:tcMar>
              <w:top w:w="0" w:type="dxa"/>
              <w:left w:w="0" w:type="dxa"/>
              <w:bottom w:w="0" w:type="dxa"/>
              <w:right w:w="0" w:type="dxa"/>
            </w:tcMar>
          </w:tcPr>
          <w:p w14:paraId="1F2E3F2E"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Insolvency occurs when an individual or a firm is unable to meet its financial obligations.</w:t>
            </w:r>
          </w:p>
        </w:tc>
      </w:tr>
      <w:tr w:rsidR="004C3088" w:rsidRPr="002556CC" w14:paraId="0FCAD6A8" w14:textId="77777777" w:rsidTr="002556CC">
        <w:trPr>
          <w:cantSplit/>
          <w:jc w:val="center"/>
        </w:trPr>
        <w:tc>
          <w:tcPr>
            <w:tcW w:w="1667" w:type="pct"/>
            <w:shd w:val="clear" w:color="auto" w:fill="FFFFFF"/>
            <w:tcMar>
              <w:top w:w="0" w:type="dxa"/>
              <w:left w:w="0" w:type="dxa"/>
              <w:bottom w:w="0" w:type="dxa"/>
              <w:right w:w="0" w:type="dxa"/>
            </w:tcMar>
          </w:tcPr>
          <w:p w14:paraId="7E4C274D"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Insolvency Practitioner</w:t>
            </w:r>
          </w:p>
        </w:tc>
        <w:tc>
          <w:tcPr>
            <w:tcW w:w="3333" w:type="pct"/>
            <w:shd w:val="clear" w:color="auto" w:fill="FFFFFF"/>
            <w:tcMar>
              <w:top w:w="0" w:type="dxa"/>
              <w:left w:w="0" w:type="dxa"/>
              <w:bottom w:w="0" w:type="dxa"/>
              <w:right w:w="0" w:type="dxa"/>
            </w:tcMar>
          </w:tcPr>
          <w:p w14:paraId="4A8C9F5F"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A person (usually, but not necessarily, a chartered accountant) licensed and authorised to act as a trustee in sequestrations or trust deeds and also as liquidator, administrator, or receiver of a limited company.</w:t>
            </w:r>
          </w:p>
        </w:tc>
      </w:tr>
      <w:tr w:rsidR="004C3088" w:rsidRPr="002556CC" w14:paraId="05648323" w14:textId="77777777" w:rsidTr="002556CC">
        <w:trPr>
          <w:cantSplit/>
          <w:jc w:val="center"/>
        </w:trPr>
        <w:tc>
          <w:tcPr>
            <w:tcW w:w="1667" w:type="pct"/>
            <w:shd w:val="clear" w:color="auto" w:fill="FFFFFF"/>
            <w:tcMar>
              <w:top w:w="0" w:type="dxa"/>
              <w:left w:w="0" w:type="dxa"/>
              <w:bottom w:w="0" w:type="dxa"/>
              <w:right w:w="0" w:type="dxa"/>
            </w:tcMar>
          </w:tcPr>
          <w:p w14:paraId="7399A805"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Full Administration</w:t>
            </w:r>
          </w:p>
        </w:tc>
        <w:tc>
          <w:tcPr>
            <w:tcW w:w="3333" w:type="pct"/>
            <w:shd w:val="clear" w:color="auto" w:fill="FFFFFF"/>
            <w:tcMar>
              <w:top w:w="0" w:type="dxa"/>
              <w:left w:w="0" w:type="dxa"/>
              <w:bottom w:w="0" w:type="dxa"/>
              <w:right w:w="0" w:type="dxa"/>
            </w:tcMar>
          </w:tcPr>
          <w:p w14:paraId="68CFC279"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A route into bankruptcy, if conditions set out in MAP are not met. Conditions for Full Administration are if a person's debts are over £3,000, or own assets valuing £2,000 or more.</w:t>
            </w:r>
          </w:p>
        </w:tc>
      </w:tr>
      <w:tr w:rsidR="004C3088" w:rsidRPr="002556CC" w14:paraId="5F5EACC0" w14:textId="77777777" w:rsidTr="002556CC">
        <w:trPr>
          <w:cantSplit/>
          <w:jc w:val="center"/>
        </w:trPr>
        <w:tc>
          <w:tcPr>
            <w:tcW w:w="1667" w:type="pct"/>
            <w:shd w:val="clear" w:color="auto" w:fill="FFFFFF"/>
            <w:tcMar>
              <w:top w:w="0" w:type="dxa"/>
              <w:left w:w="0" w:type="dxa"/>
              <w:bottom w:w="0" w:type="dxa"/>
              <w:right w:w="0" w:type="dxa"/>
            </w:tcMar>
          </w:tcPr>
          <w:p w14:paraId="7C078DC2"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Low Income Low Asset (LILA)</w:t>
            </w:r>
          </w:p>
        </w:tc>
        <w:tc>
          <w:tcPr>
            <w:tcW w:w="3333" w:type="pct"/>
            <w:shd w:val="clear" w:color="auto" w:fill="FFFFFF"/>
            <w:tcMar>
              <w:top w:w="0" w:type="dxa"/>
              <w:left w:w="0" w:type="dxa"/>
              <w:bottom w:w="0" w:type="dxa"/>
              <w:right w:w="0" w:type="dxa"/>
            </w:tcMar>
          </w:tcPr>
          <w:p w14:paraId="48D64695"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LILA was the route into bankruptcy introduced to provide debt relief to debtors who cannot afford to pay their debts and have low income and limited assets. Many debtors find that their creditors are unwilling to take the legal action required to bring about their bankruptcy because of the administrative and legal costs incurred, often without the creditor receiving any dividend at the end.LILA was replaced by the MAP route into bankruptcy in 2015.</w:t>
            </w:r>
          </w:p>
        </w:tc>
      </w:tr>
      <w:tr w:rsidR="004C3088" w:rsidRPr="002556CC" w14:paraId="2D0E34DD" w14:textId="77777777" w:rsidTr="002556CC">
        <w:trPr>
          <w:cantSplit/>
          <w:jc w:val="center"/>
        </w:trPr>
        <w:tc>
          <w:tcPr>
            <w:tcW w:w="1667" w:type="pct"/>
            <w:shd w:val="clear" w:color="auto" w:fill="FFFFFF"/>
            <w:tcMar>
              <w:top w:w="0" w:type="dxa"/>
              <w:left w:w="0" w:type="dxa"/>
              <w:bottom w:w="0" w:type="dxa"/>
              <w:right w:w="0" w:type="dxa"/>
            </w:tcMar>
          </w:tcPr>
          <w:p w14:paraId="4E162DCC"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Minimal Asset Process (MAP)</w:t>
            </w:r>
          </w:p>
        </w:tc>
        <w:tc>
          <w:tcPr>
            <w:tcW w:w="3333" w:type="pct"/>
            <w:shd w:val="clear" w:color="auto" w:fill="FFFFFF"/>
            <w:tcMar>
              <w:top w:w="0" w:type="dxa"/>
              <w:left w:w="0" w:type="dxa"/>
              <w:bottom w:w="0" w:type="dxa"/>
              <w:right w:w="0" w:type="dxa"/>
            </w:tcMar>
          </w:tcPr>
          <w:p w14:paraId="43E7C21A"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A route into bankruptcy for people on low income who do not own property and have very little in savings or other assets. This is known as Minimal Asset Process (MAP) and replaced the LILA route into bankruptcy. A debtor will be discharged after six months, if they continue to meet the MAP criteria, (cases will be converted to Full Administration where it is found that debtor’s do not meet MAP criteria).</w:t>
            </w:r>
          </w:p>
        </w:tc>
      </w:tr>
      <w:tr w:rsidR="004C3088" w:rsidRPr="002556CC" w14:paraId="34C9E610" w14:textId="77777777" w:rsidTr="002556CC">
        <w:trPr>
          <w:cantSplit/>
          <w:jc w:val="center"/>
        </w:trPr>
        <w:tc>
          <w:tcPr>
            <w:tcW w:w="1667" w:type="pct"/>
            <w:shd w:val="clear" w:color="auto" w:fill="FFFFFF"/>
            <w:tcMar>
              <w:top w:w="0" w:type="dxa"/>
              <w:left w:w="0" w:type="dxa"/>
              <w:bottom w:w="0" w:type="dxa"/>
              <w:right w:w="0" w:type="dxa"/>
            </w:tcMar>
          </w:tcPr>
          <w:p w14:paraId="150EDED3"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Members' Voluntary Liquidation</w:t>
            </w:r>
          </w:p>
        </w:tc>
        <w:tc>
          <w:tcPr>
            <w:tcW w:w="3333" w:type="pct"/>
            <w:shd w:val="clear" w:color="auto" w:fill="FFFFFF"/>
            <w:tcMar>
              <w:top w:w="0" w:type="dxa"/>
              <w:left w:w="0" w:type="dxa"/>
              <w:bottom w:w="0" w:type="dxa"/>
              <w:right w:w="0" w:type="dxa"/>
            </w:tcMar>
          </w:tcPr>
          <w:p w14:paraId="768704A3"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The shareholders of a solvent company adopt a voluntary winding up resolution and appoint a liquidator to realise the assets of the business in order to distribute the proceeds to company members. A company is considered legally solvent when it is able to meet its financial obligations and the value of its assets.</w:t>
            </w:r>
          </w:p>
        </w:tc>
      </w:tr>
      <w:tr w:rsidR="004C3088" w:rsidRPr="002556CC" w14:paraId="202D1128" w14:textId="77777777" w:rsidTr="002556CC">
        <w:trPr>
          <w:cantSplit/>
          <w:jc w:val="center"/>
        </w:trPr>
        <w:tc>
          <w:tcPr>
            <w:tcW w:w="1667" w:type="pct"/>
            <w:shd w:val="clear" w:color="auto" w:fill="FFFFFF"/>
            <w:tcMar>
              <w:top w:w="0" w:type="dxa"/>
              <w:left w:w="0" w:type="dxa"/>
              <w:bottom w:w="0" w:type="dxa"/>
              <w:right w:w="0" w:type="dxa"/>
            </w:tcMar>
          </w:tcPr>
          <w:p w14:paraId="408BCF9A"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Money adviser</w:t>
            </w:r>
          </w:p>
        </w:tc>
        <w:tc>
          <w:tcPr>
            <w:tcW w:w="3333" w:type="pct"/>
            <w:shd w:val="clear" w:color="auto" w:fill="FFFFFF"/>
            <w:tcMar>
              <w:top w:w="0" w:type="dxa"/>
              <w:left w:w="0" w:type="dxa"/>
              <w:bottom w:w="0" w:type="dxa"/>
              <w:right w:w="0" w:type="dxa"/>
            </w:tcMar>
          </w:tcPr>
          <w:p w14:paraId="4EA80DFA"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Somebody trained to offer advice on debt usually at at local authority money advice unit or Citzens Advice Bureau.</w:t>
            </w:r>
          </w:p>
        </w:tc>
      </w:tr>
      <w:tr w:rsidR="004C3088" w:rsidRPr="002556CC" w14:paraId="52B4C840" w14:textId="77777777" w:rsidTr="002556CC">
        <w:trPr>
          <w:cantSplit/>
          <w:jc w:val="center"/>
        </w:trPr>
        <w:tc>
          <w:tcPr>
            <w:tcW w:w="1667" w:type="pct"/>
            <w:shd w:val="clear" w:color="auto" w:fill="FFFFFF"/>
            <w:tcMar>
              <w:top w:w="0" w:type="dxa"/>
              <w:left w:w="0" w:type="dxa"/>
              <w:bottom w:w="0" w:type="dxa"/>
              <w:right w:w="0" w:type="dxa"/>
            </w:tcMar>
          </w:tcPr>
          <w:p w14:paraId="7BF7DD21"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Moratorium on diligence</w:t>
            </w:r>
          </w:p>
        </w:tc>
        <w:tc>
          <w:tcPr>
            <w:tcW w:w="3333" w:type="pct"/>
            <w:shd w:val="clear" w:color="auto" w:fill="FFFFFF"/>
            <w:tcMar>
              <w:top w:w="0" w:type="dxa"/>
              <w:left w:w="0" w:type="dxa"/>
              <w:bottom w:w="0" w:type="dxa"/>
              <w:right w:w="0" w:type="dxa"/>
            </w:tcMar>
          </w:tcPr>
          <w:p w14:paraId="6EEB44A1"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A protection from creditor debt enforcement. This protection is available to individuals as well as certain entities. Although it is normally lasts for a period of six weeks, the Coronavirus (Scotland) Act has been enacted to extend the duration of the moratorium to six months temporarily due to the current COVID-19 pandemic. Under normal circumstances, a moratorium cannot be granted more than once in any 12-month period. However, this rule has been set aside temporarily as a result of the aforementioned emergency legislation.</w:t>
            </w:r>
          </w:p>
        </w:tc>
      </w:tr>
      <w:tr w:rsidR="004C3088" w:rsidRPr="002556CC" w14:paraId="1E8D134A" w14:textId="77777777" w:rsidTr="002556CC">
        <w:trPr>
          <w:cantSplit/>
          <w:jc w:val="center"/>
        </w:trPr>
        <w:tc>
          <w:tcPr>
            <w:tcW w:w="1667" w:type="pct"/>
            <w:shd w:val="clear" w:color="auto" w:fill="FFFFFF"/>
            <w:tcMar>
              <w:top w:w="0" w:type="dxa"/>
              <w:left w:w="0" w:type="dxa"/>
              <w:bottom w:w="0" w:type="dxa"/>
              <w:right w:w="0" w:type="dxa"/>
            </w:tcMar>
          </w:tcPr>
          <w:p w14:paraId="7C733183"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Personal insolvencies</w:t>
            </w:r>
          </w:p>
        </w:tc>
        <w:tc>
          <w:tcPr>
            <w:tcW w:w="3333" w:type="pct"/>
            <w:shd w:val="clear" w:color="auto" w:fill="FFFFFF"/>
            <w:tcMar>
              <w:top w:w="0" w:type="dxa"/>
              <w:left w:w="0" w:type="dxa"/>
              <w:bottom w:w="0" w:type="dxa"/>
              <w:right w:w="0" w:type="dxa"/>
            </w:tcMar>
          </w:tcPr>
          <w:p w14:paraId="6A3F6EDD"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The sum of awards of bankruptcy (Full Administration and MAP) and PTDs.</w:t>
            </w:r>
          </w:p>
        </w:tc>
      </w:tr>
      <w:tr w:rsidR="004C3088" w:rsidRPr="002556CC" w14:paraId="313246CC" w14:textId="77777777" w:rsidTr="002556CC">
        <w:trPr>
          <w:cantSplit/>
          <w:jc w:val="center"/>
        </w:trPr>
        <w:tc>
          <w:tcPr>
            <w:tcW w:w="1667" w:type="pct"/>
            <w:shd w:val="clear" w:color="auto" w:fill="FFFFFF"/>
            <w:tcMar>
              <w:top w:w="0" w:type="dxa"/>
              <w:left w:w="0" w:type="dxa"/>
              <w:bottom w:w="0" w:type="dxa"/>
              <w:right w:w="0" w:type="dxa"/>
            </w:tcMar>
          </w:tcPr>
          <w:p w14:paraId="2529D327"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Protected trust deed (PTD)</w:t>
            </w:r>
          </w:p>
        </w:tc>
        <w:tc>
          <w:tcPr>
            <w:tcW w:w="3333" w:type="pct"/>
            <w:shd w:val="clear" w:color="auto" w:fill="FFFFFF"/>
            <w:tcMar>
              <w:top w:w="0" w:type="dxa"/>
              <w:left w:w="0" w:type="dxa"/>
              <w:bottom w:w="0" w:type="dxa"/>
              <w:right w:w="0" w:type="dxa"/>
            </w:tcMar>
          </w:tcPr>
          <w:p w14:paraId="50964DC4"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A trust deed is a form of insolvency that transfers your estate to a trustee to be realised for the benefit of creditors. A trust deed may be protected as long as a majority in number or a third in value of creditors do not object to its terms. Once protected, the terms of the trust deed becoming binding on all the creditors.</w:t>
            </w:r>
          </w:p>
        </w:tc>
      </w:tr>
      <w:tr w:rsidR="004C3088" w:rsidRPr="002556CC" w14:paraId="57E49621" w14:textId="77777777" w:rsidTr="002556CC">
        <w:trPr>
          <w:cantSplit/>
          <w:jc w:val="center"/>
        </w:trPr>
        <w:tc>
          <w:tcPr>
            <w:tcW w:w="1667" w:type="pct"/>
            <w:shd w:val="clear" w:color="auto" w:fill="FFFFFF"/>
            <w:tcMar>
              <w:top w:w="0" w:type="dxa"/>
              <w:left w:w="0" w:type="dxa"/>
              <w:bottom w:w="0" w:type="dxa"/>
              <w:right w:w="0" w:type="dxa"/>
            </w:tcMar>
          </w:tcPr>
          <w:p w14:paraId="70D2DDD8"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Rate per 10,000 adults</w:t>
            </w:r>
          </w:p>
        </w:tc>
        <w:tc>
          <w:tcPr>
            <w:tcW w:w="3333" w:type="pct"/>
            <w:shd w:val="clear" w:color="auto" w:fill="FFFFFF"/>
            <w:tcMar>
              <w:top w:w="0" w:type="dxa"/>
              <w:left w:w="0" w:type="dxa"/>
              <w:bottom w:w="0" w:type="dxa"/>
              <w:right w:w="0" w:type="dxa"/>
            </w:tcMar>
          </w:tcPr>
          <w:p w14:paraId="64958A39"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Rate per 10,000 adults (aged 16+) is the specific number of statutory debt solution divided by the number of people aged 16 or over, multiplied by 10,000. A rate of a 100 per 10,000 adults is equivalent to 1% of the adult population.</w:t>
            </w:r>
          </w:p>
        </w:tc>
      </w:tr>
      <w:tr w:rsidR="004C3088" w:rsidRPr="002556CC" w14:paraId="3A266696" w14:textId="77777777" w:rsidTr="002556CC">
        <w:trPr>
          <w:cantSplit/>
          <w:jc w:val="center"/>
        </w:trPr>
        <w:tc>
          <w:tcPr>
            <w:tcW w:w="1667" w:type="pct"/>
            <w:shd w:val="clear" w:color="auto" w:fill="FFFFFF"/>
            <w:tcMar>
              <w:top w:w="0" w:type="dxa"/>
              <w:left w:w="0" w:type="dxa"/>
              <w:bottom w:w="0" w:type="dxa"/>
              <w:right w:w="0" w:type="dxa"/>
            </w:tcMar>
          </w:tcPr>
          <w:p w14:paraId="77605FA1"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Receivership</w:t>
            </w:r>
          </w:p>
        </w:tc>
        <w:tc>
          <w:tcPr>
            <w:tcW w:w="3333" w:type="pct"/>
            <w:shd w:val="clear" w:color="auto" w:fill="FFFFFF"/>
            <w:tcMar>
              <w:top w:w="0" w:type="dxa"/>
              <w:left w:w="0" w:type="dxa"/>
              <w:bottom w:w="0" w:type="dxa"/>
              <w:right w:w="0" w:type="dxa"/>
            </w:tcMar>
          </w:tcPr>
          <w:p w14:paraId="4741960E"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A receiver is appointed by a lender holding a charge over some or all of the company's assets. The main responsibilities of a receiver are to ensure the appointing lender is paid off. The law recognises that the receiver's control over the company can have considerable effect on the company and its other creditors.</w:t>
            </w:r>
          </w:p>
        </w:tc>
      </w:tr>
      <w:tr w:rsidR="004C3088" w:rsidRPr="002556CC" w14:paraId="695A5C52" w14:textId="77777777" w:rsidTr="002556CC">
        <w:trPr>
          <w:cantSplit/>
          <w:jc w:val="center"/>
        </w:trPr>
        <w:tc>
          <w:tcPr>
            <w:tcW w:w="1667" w:type="pct"/>
            <w:shd w:val="clear" w:color="auto" w:fill="FFFFFF"/>
            <w:tcMar>
              <w:top w:w="0" w:type="dxa"/>
              <w:left w:w="0" w:type="dxa"/>
              <w:bottom w:w="0" w:type="dxa"/>
              <w:right w:w="0" w:type="dxa"/>
            </w:tcMar>
          </w:tcPr>
          <w:p w14:paraId="6E3A579D"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Trustee</w:t>
            </w:r>
          </w:p>
        </w:tc>
        <w:tc>
          <w:tcPr>
            <w:tcW w:w="3333" w:type="pct"/>
            <w:shd w:val="clear" w:color="auto" w:fill="FFFFFF"/>
            <w:tcMar>
              <w:top w:w="0" w:type="dxa"/>
              <w:left w:w="0" w:type="dxa"/>
              <w:bottom w:w="0" w:type="dxa"/>
              <w:right w:w="0" w:type="dxa"/>
            </w:tcMar>
          </w:tcPr>
          <w:p w14:paraId="4F401B0B" w14:textId="77777777" w:rsidR="004C3088" w:rsidRPr="002556CC" w:rsidRDefault="002556CC">
            <w:pPr>
              <w:spacing w:before="40" w:after="40"/>
              <w:ind w:left="100" w:right="100"/>
              <w:rPr>
                <w:rFonts w:ascii="Arial" w:hAnsi="Arial" w:cs="Arial"/>
                <w:sz w:val="22"/>
                <w:szCs w:val="22"/>
              </w:rPr>
            </w:pPr>
            <w:r w:rsidRPr="002556CC">
              <w:rPr>
                <w:rFonts w:ascii="Arial" w:eastAsia="Roboto" w:hAnsi="Arial" w:cs="Arial"/>
                <w:color w:val="111111"/>
                <w:sz w:val="22"/>
                <w:szCs w:val="22"/>
              </w:rPr>
              <w:t>Person who administers your bankruptcy or trust deed. In sequestrations your trustee can be either the Accountant in Bankruptcy or a private insolvency practitioner (normally a chartered accountant who specialises in personal bankruptcy). In trust deeds, trustees must be an insolvency practitioner.</w:t>
            </w:r>
          </w:p>
        </w:tc>
      </w:tr>
    </w:tbl>
    <w:p w14:paraId="4A94A223" w14:textId="77777777" w:rsidR="004C3088" w:rsidRDefault="004C3088">
      <w:pPr>
        <w:pStyle w:val="BodyText"/>
      </w:pPr>
    </w:p>
    <w:p w14:paraId="75862C15" w14:textId="77777777" w:rsidR="002556CC" w:rsidRDefault="002556CC">
      <w:pPr>
        <w:rPr>
          <w:rFonts w:ascii="Arial" w:eastAsiaTheme="majorEastAsia" w:hAnsi="Arial" w:cstheme="majorBidi"/>
          <w:b/>
          <w:bCs/>
          <w:sz w:val="32"/>
          <w:szCs w:val="32"/>
        </w:rPr>
      </w:pPr>
      <w:bookmarkStart w:id="60" w:name="Xfa3320dde4c04099804f6e1302ccad83c8421cf"/>
      <w:bookmarkStart w:id="61" w:name="_Toc142064480"/>
      <w:r>
        <w:br w:type="page"/>
      </w:r>
    </w:p>
    <w:p w14:paraId="431CE537" w14:textId="1C5EA254" w:rsidR="004C3088" w:rsidRDefault="002556CC">
      <w:pPr>
        <w:pStyle w:val="Heading2"/>
      </w:pPr>
      <w:r>
        <w:t>An Experimental Statistics publication for Scotland</w:t>
      </w:r>
      <w:bookmarkEnd w:id="60"/>
      <w:bookmarkEnd w:id="61"/>
    </w:p>
    <w:p w14:paraId="779E33D3" w14:textId="435492A8" w:rsidR="004C3088" w:rsidRDefault="002556CC" w:rsidP="001F4130">
      <w:pPr>
        <w:pStyle w:val="FirstParagraph"/>
      </w:pPr>
      <w:r>
        <w:t>The figures released today are classed as Experimental Statistics though these were produced in accordance with professional standards set out in the Code of Practice for Official Statistics; they undergo regular quality assurance reviews to ensure that they meet customer needs.</w:t>
      </w:r>
    </w:p>
    <w:p w14:paraId="0B372449" w14:textId="77777777" w:rsidR="004C3088" w:rsidRDefault="002556CC">
      <w:pPr>
        <w:pStyle w:val="Heading3"/>
      </w:pPr>
      <w:bookmarkStart w:id="62" w:name="correspondence-and-enquiries"/>
      <w:r>
        <w:t>Correspondence and enquiries</w:t>
      </w:r>
      <w:bookmarkEnd w:id="62"/>
    </w:p>
    <w:p w14:paraId="5D77B718" w14:textId="77777777" w:rsidR="004C3088" w:rsidRDefault="002556CC">
      <w:pPr>
        <w:pStyle w:val="FirstParagraph"/>
      </w:pPr>
      <w:r>
        <w:t>For enquiries about this publication please contact:</w:t>
      </w:r>
    </w:p>
    <w:p w14:paraId="54B804DC" w14:textId="77777777" w:rsidR="004C3088" w:rsidRDefault="002556CC">
      <w:pPr>
        <w:pStyle w:val="BodyText"/>
      </w:pPr>
      <w:r>
        <w:t>AiB Statistics Team, Accountant in Bankruptcy</w:t>
      </w:r>
      <w:r>
        <w:br/>
        <w:t xml:space="preserve">Email: </w:t>
      </w:r>
      <w:hyperlink r:id="rId35">
        <w:r>
          <w:rPr>
            <w:rStyle w:val="Hyperlink"/>
          </w:rPr>
          <w:t>aib_statistics@gov.scot</w:t>
        </w:r>
      </w:hyperlink>
    </w:p>
    <w:p w14:paraId="329F5067" w14:textId="77777777" w:rsidR="004C3088" w:rsidRDefault="002556CC">
      <w:pPr>
        <w:pStyle w:val="BodyText"/>
      </w:pPr>
      <w:r>
        <w:t>For general enquiries about Scottish Government statistics please contact:</w:t>
      </w:r>
    </w:p>
    <w:p w14:paraId="31EF0674" w14:textId="448BD419" w:rsidR="004C3088" w:rsidRDefault="002556CC">
      <w:pPr>
        <w:pStyle w:val="BodyText"/>
      </w:pPr>
      <w:r>
        <w:t>Office of the Chief Statistician</w:t>
      </w:r>
      <w:r>
        <w:br/>
        <w:t>Telephone: 0131 244 0442</w:t>
      </w:r>
      <w:r>
        <w:br/>
        <w:t xml:space="preserve">Email: </w:t>
      </w:r>
      <w:hyperlink r:id="rId36">
        <w:r>
          <w:rPr>
            <w:rStyle w:val="Hyperlink"/>
          </w:rPr>
          <w:t>statistics.enquiries@gov.scot</w:t>
        </w:r>
      </w:hyperlink>
    </w:p>
    <w:p w14:paraId="39D76D34" w14:textId="77777777" w:rsidR="004C3088" w:rsidRDefault="002556CC">
      <w:pPr>
        <w:pStyle w:val="Heading3"/>
      </w:pPr>
      <w:bookmarkStart w:id="63" w:name="how-to-access-background-or-source-data"/>
      <w:r>
        <w:t>How to access background or source data</w:t>
      </w:r>
      <w:bookmarkEnd w:id="63"/>
    </w:p>
    <w:p w14:paraId="18852E4C" w14:textId="77777777" w:rsidR="004C3088" w:rsidRDefault="002556CC">
      <w:pPr>
        <w:pStyle w:val="FirstParagraph"/>
      </w:pPr>
      <w:r>
        <w:t xml:space="preserve">The data collected for this statistical bulletin are available on the AiB Statistics webpages at </w:t>
      </w:r>
      <w:hyperlink r:id="rId37">
        <w:r>
          <w:rPr>
            <w:rStyle w:val="Hyperlink"/>
          </w:rPr>
          <w:t>https://www.aib.gov.uk/about-aib/statistics-data/quarterly-statistics</w:t>
        </w:r>
      </w:hyperlink>
      <w:r>
        <w:t>.</w:t>
      </w:r>
    </w:p>
    <w:p w14:paraId="484DDB3F" w14:textId="77777777" w:rsidR="004C3088" w:rsidRDefault="002556CC">
      <w:pPr>
        <w:pStyle w:val="BodyText"/>
      </w:pPr>
      <w:r>
        <w:t xml:space="preserve">Details of bankruptcies, PTDs, liquidations and receiverships can be found on the Register of Insolvencies, which is maintained by Accountant in Bankruptcy and can be accessed at: </w:t>
      </w:r>
      <w:hyperlink r:id="rId38">
        <w:r>
          <w:rPr>
            <w:rStyle w:val="Hyperlink"/>
          </w:rPr>
          <w:t>https://roi.aib.gov.uk/roi/</w:t>
        </w:r>
      </w:hyperlink>
      <w:r>
        <w:t>.</w:t>
      </w:r>
    </w:p>
    <w:p w14:paraId="66B9FE7B" w14:textId="55FC2106" w:rsidR="004C3088" w:rsidRDefault="002556CC">
      <w:pPr>
        <w:pStyle w:val="BodyText"/>
      </w:pPr>
      <w:r>
        <w:t xml:space="preserve">The DAS register is an online public register which holds information about those who have a DPP under DAS, available at: </w:t>
      </w:r>
      <w:hyperlink r:id="rId39">
        <w:r>
          <w:rPr>
            <w:rStyle w:val="Hyperlink"/>
          </w:rPr>
          <w:t>https://eden.aib.gov.uk/dasregister</w:t>
        </w:r>
      </w:hyperlink>
      <w:r>
        <w:t>.</w:t>
      </w:r>
    </w:p>
    <w:p w14:paraId="0864A382" w14:textId="77777777" w:rsidR="004C3088" w:rsidRDefault="002556CC">
      <w:pPr>
        <w:pStyle w:val="Heading3"/>
      </w:pPr>
      <w:bookmarkStart w:id="64" w:name="complaints-and-suggestions"/>
      <w:r>
        <w:t>Complaints and suggestions</w:t>
      </w:r>
      <w:bookmarkEnd w:id="64"/>
    </w:p>
    <w:p w14:paraId="17E15825" w14:textId="77777777" w:rsidR="004C3088" w:rsidRDefault="002556CC">
      <w:pPr>
        <w:pStyle w:val="FirstParagraph"/>
      </w:pPr>
      <w:r>
        <w:t>If you are not satisfied with our service or have any comments or suggestions, please write to:</w:t>
      </w:r>
      <w:r>
        <w:br/>
        <w:t>The Chief Statistician, 2W, St Andrews House, Edinburgh, EH1 3DG</w:t>
      </w:r>
      <w:r>
        <w:br/>
        <w:t>Telephone: (0131) 244 0302</w:t>
      </w:r>
      <w:r>
        <w:br/>
        <w:t xml:space="preserve">Email: </w:t>
      </w:r>
      <w:hyperlink r:id="rId40">
        <w:r>
          <w:rPr>
            <w:rStyle w:val="Hyperlink"/>
          </w:rPr>
          <w:t>statistics.enquiries@gov.scot</w:t>
        </w:r>
      </w:hyperlink>
    </w:p>
    <w:p w14:paraId="3AFF3379" w14:textId="77777777" w:rsidR="004C3088" w:rsidRDefault="002556CC">
      <w:pPr>
        <w:pStyle w:val="BodyText"/>
      </w:pPr>
      <w:r>
        <w:t xml:space="preserve">If you would like to be consulted about statistical collections or receive notification of publications, please register your interest at: </w:t>
      </w:r>
      <w:hyperlink r:id="rId41">
        <w:r>
          <w:rPr>
            <w:rStyle w:val="Hyperlink"/>
          </w:rPr>
          <w:t>https://blogs.gov.scot/statistics/</w:t>
        </w:r>
      </w:hyperlink>
    </w:p>
    <w:p w14:paraId="5370236A" w14:textId="0C132842" w:rsidR="004C3088" w:rsidRDefault="002556CC">
      <w:pPr>
        <w:pStyle w:val="BodyText"/>
      </w:pPr>
      <w:r>
        <w:t xml:space="preserve">Details of forthcoming publications can be found at: </w:t>
      </w:r>
      <w:hyperlink r:id="rId42">
        <w:r>
          <w:rPr>
            <w:rStyle w:val="Hyperlink"/>
          </w:rPr>
          <w:t>Official statistics: forthcoming publications - gov.scot</w:t>
        </w:r>
      </w:hyperlink>
    </w:p>
    <w:p w14:paraId="100B7CF1" w14:textId="77777777" w:rsidR="004C3088" w:rsidRDefault="002556CC">
      <w:pPr>
        <w:pStyle w:val="Heading3"/>
      </w:pPr>
      <w:bookmarkStart w:id="65" w:name="crown-copyright"/>
      <w:r>
        <w:t>Crown Copyright</w:t>
      </w:r>
      <w:bookmarkEnd w:id="65"/>
    </w:p>
    <w:p w14:paraId="23C4DE74" w14:textId="77777777" w:rsidR="004C3088" w:rsidRDefault="002556CC">
      <w:pPr>
        <w:pStyle w:val="FirstParagraph"/>
      </w:pPr>
      <w:r>
        <w:t xml:space="preserve">You may use or reuse this information (not including logos) free of charge in any format or medium, under the terms of the Open Government Licence. See: </w:t>
      </w:r>
      <w:hyperlink r:id="rId43">
        <w:r>
          <w:rPr>
            <w:rStyle w:val="Hyperlink"/>
          </w:rPr>
          <w:t>http://www.nationalarchives.gov.uk/doc/open-government-licence/version/3/</w:t>
        </w:r>
      </w:hyperlink>
    </w:p>
    <w:sectPr w:rsidR="004C3088" w:rsidSect="00295824">
      <w:headerReference w:type="first" r:id="rId44"/>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A5E9C" w14:textId="77777777" w:rsidR="000E15E5" w:rsidRDefault="002556CC">
      <w:pPr>
        <w:spacing w:after="0"/>
      </w:pPr>
      <w:r>
        <w:separator/>
      </w:r>
    </w:p>
  </w:endnote>
  <w:endnote w:type="continuationSeparator" w:id="0">
    <w:p w14:paraId="21A9D9FD" w14:textId="77777777" w:rsidR="000E15E5" w:rsidRDefault="00255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4A401" w14:textId="77777777" w:rsidR="004C3088" w:rsidRDefault="002556CC">
      <w:r>
        <w:separator/>
      </w:r>
    </w:p>
  </w:footnote>
  <w:footnote w:type="continuationSeparator" w:id="0">
    <w:p w14:paraId="025CB7A5" w14:textId="77777777" w:rsidR="004C3088" w:rsidRDefault="00255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B9CF" w14:textId="77777777" w:rsidR="00295824" w:rsidRDefault="002556CC" w:rsidP="00295824">
    <w:pPr>
      <w:pStyle w:val="Header"/>
    </w:pPr>
    <w:r>
      <w:rPr>
        <w:noProof/>
        <w:lang w:val="en-GB" w:eastAsia="en-GB"/>
      </w:rPr>
      <w:drawing>
        <wp:anchor distT="0" distB="0" distL="114300" distR="114300" simplePos="0" relativeHeight="251660288" behindDoc="0" locked="0" layoutInCell="1" allowOverlap="1" wp14:anchorId="7D934B49" wp14:editId="16BC18B9">
          <wp:simplePos x="0" y="0"/>
          <wp:positionH relativeFrom="column">
            <wp:posOffset>1798320</wp:posOffset>
          </wp:positionH>
          <wp:positionV relativeFrom="paragraph">
            <wp:posOffset>-68580</wp:posOffset>
          </wp:positionV>
          <wp:extent cx="1555115" cy="683895"/>
          <wp:effectExtent l="0" t="0" r="0" b="0"/>
          <wp:wrapNone/>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logo d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115" cy="6838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490D2595" wp14:editId="18679DB2">
          <wp:simplePos x="0" y="0"/>
          <wp:positionH relativeFrom="column">
            <wp:posOffset>3749040</wp:posOffset>
          </wp:positionH>
          <wp:positionV relativeFrom="paragraph">
            <wp:posOffset>7620</wp:posOffset>
          </wp:positionV>
          <wp:extent cx="2653030" cy="503555"/>
          <wp:effectExtent l="0" t="0" r="0" b="0"/>
          <wp:wrapNone/>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_logo SG_Master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53030" cy="50355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14:anchorId="5A1983F6" wp14:editId="1FE86D74">
          <wp:simplePos x="0" y="0"/>
          <wp:positionH relativeFrom="column">
            <wp:posOffset>0</wp:posOffset>
          </wp:positionH>
          <wp:positionV relativeFrom="paragraph">
            <wp:posOffset>-60960</wp:posOffset>
          </wp:positionV>
          <wp:extent cx="1468755" cy="683895"/>
          <wp:effectExtent l="0" t="0" r="0" b="0"/>
          <wp:wrapNone/>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_logo aib.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68755" cy="68389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7FC31DB3" w14:textId="77777777" w:rsidR="00295824" w:rsidRDefault="001F41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ED30F08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2C1AE401"/>
    <w:multiLevelType w:val="multilevel"/>
    <w:tmpl w:val="BD8AD2B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1714454447">
    <w:abstractNumId w:val="1"/>
  </w:num>
  <w:num w:numId="2" w16cid:durableId="270940009">
    <w:abstractNumId w:val="0"/>
  </w:num>
  <w:num w:numId="3" w16cid:durableId="177240627">
    <w:abstractNumId w:val="0"/>
  </w:num>
  <w:num w:numId="4" w16cid:durableId="1338847541">
    <w:abstractNumId w:val="1"/>
  </w:num>
  <w:num w:numId="5" w16cid:durableId="882136677">
    <w:abstractNumId w:val="0"/>
  </w:num>
  <w:num w:numId="6" w16cid:durableId="1746761760">
    <w:abstractNumId w:val="0"/>
  </w:num>
  <w:num w:numId="7" w16cid:durableId="192614313">
    <w:abstractNumId w:val="0"/>
  </w:num>
  <w:num w:numId="8" w16cid:durableId="313946924">
    <w:abstractNumId w:val="0"/>
  </w:num>
  <w:num w:numId="9" w16cid:durableId="1443500937">
    <w:abstractNumId w:val="0"/>
  </w:num>
  <w:num w:numId="10" w16cid:durableId="216939149">
    <w:abstractNumId w:val="0"/>
  </w:num>
  <w:num w:numId="11" w16cid:durableId="20405100">
    <w:abstractNumId w:val="0"/>
  </w:num>
  <w:num w:numId="12" w16cid:durableId="808937431">
    <w:abstractNumId w:val="0"/>
  </w:num>
  <w:num w:numId="13" w16cid:durableId="401298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0D07"/>
    <w:rsid w:val="00011C8B"/>
    <w:rsid w:val="000E15E5"/>
    <w:rsid w:val="001F4130"/>
    <w:rsid w:val="002556CC"/>
    <w:rsid w:val="004C3088"/>
    <w:rsid w:val="004E29B3"/>
    <w:rsid w:val="00506E0E"/>
    <w:rsid w:val="00590D07"/>
    <w:rsid w:val="00784D58"/>
    <w:rsid w:val="008D6863"/>
    <w:rsid w:val="00B86B75"/>
    <w:rsid w:val="00BC41A5"/>
    <w:rsid w:val="00BC48D5"/>
    <w:rsid w:val="00C36279"/>
    <w:rsid w:val="00C45BBB"/>
    <w:rsid w:val="00D34820"/>
    <w:rsid w:val="00E315A3"/>
    <w:rsid w:val="00F92D8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3491E4"/>
  <w15:docId w15:val="{A9704EE0-2767-432D-90E4-ECCEB8564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rsid w:val="00295824"/>
    <w:pPr>
      <w:keepNext/>
      <w:keepLines/>
      <w:spacing w:before="200" w:after="0"/>
      <w:outlineLvl w:val="1"/>
    </w:pPr>
    <w:rPr>
      <w:rFonts w:ascii="Arial" w:eastAsiaTheme="majorEastAsia" w:hAnsi="Arial" w:cstheme="majorBidi"/>
      <w:b/>
      <w:bCs/>
      <w:sz w:val="32"/>
      <w:szCs w:val="32"/>
    </w:rPr>
  </w:style>
  <w:style w:type="paragraph" w:styleId="Heading3">
    <w:name w:val="heading 3"/>
    <w:basedOn w:val="Normal"/>
    <w:next w:val="BodyText"/>
    <w:uiPriority w:val="9"/>
    <w:unhideWhenUsed/>
    <w:qFormat/>
    <w:rsid w:val="00295824"/>
    <w:pPr>
      <w:keepNext/>
      <w:keepLines/>
      <w:spacing w:before="200" w:after="0"/>
      <w:outlineLvl w:val="2"/>
    </w:pPr>
    <w:rPr>
      <w:rFonts w:ascii="Arial" w:eastAsiaTheme="majorEastAsia" w:hAnsi="Arial" w:cstheme="majorBidi"/>
      <w:b/>
      <w:bCs/>
      <w:sz w:val="28"/>
      <w:szCs w:val="28"/>
    </w:rPr>
  </w:style>
  <w:style w:type="paragraph" w:styleId="Heading4">
    <w:name w:val="heading 4"/>
    <w:basedOn w:val="Normal"/>
    <w:next w:val="BodyText"/>
    <w:uiPriority w:val="9"/>
    <w:unhideWhenUsed/>
    <w:qFormat/>
    <w:rsid w:val="00295824"/>
    <w:pPr>
      <w:keepNext/>
      <w:keepLines/>
      <w:spacing w:before="200" w:after="0"/>
      <w:outlineLvl w:val="3"/>
    </w:pPr>
    <w:rPr>
      <w:rFonts w:ascii="Arial" w:eastAsiaTheme="majorEastAsia" w:hAnsi="Arial" w:cstheme="majorBidi"/>
      <w:b/>
      <w:bCs/>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295824"/>
    <w:pPr>
      <w:spacing w:before="180" w:after="180"/>
    </w:pPr>
    <w:rPr>
      <w:rFonts w:ascii="Arial" w:hAnsi="Arial"/>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rsid w:val="00295824"/>
    <w:pPr>
      <w:keepNext/>
      <w:keepLines/>
      <w:spacing w:before="480" w:after="240"/>
      <w:jc w:val="center"/>
    </w:pPr>
    <w:rPr>
      <w:rFonts w:ascii="Arial" w:eastAsiaTheme="majorEastAsia" w:hAnsi="Arial" w:cstheme="majorBidi"/>
      <w:b/>
      <w:bCs/>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TOC2">
    <w:name w:val="toc 2"/>
    <w:basedOn w:val="Normal"/>
    <w:next w:val="Normal"/>
    <w:autoRedefine/>
    <w:uiPriority w:val="39"/>
    <w:unhideWhenUsed/>
    <w:rsid w:val="00295824"/>
    <w:pPr>
      <w:spacing w:after="100"/>
      <w:ind w:left="240"/>
    </w:pPr>
  </w:style>
  <w:style w:type="paragraph" w:styleId="Header">
    <w:name w:val="header"/>
    <w:basedOn w:val="Normal"/>
    <w:link w:val="HeaderChar"/>
    <w:unhideWhenUsed/>
    <w:rsid w:val="00295824"/>
    <w:pPr>
      <w:tabs>
        <w:tab w:val="center" w:pos="4513"/>
        <w:tab w:val="right" w:pos="9026"/>
      </w:tabs>
      <w:spacing w:after="0"/>
    </w:pPr>
  </w:style>
  <w:style w:type="character" w:customStyle="1" w:styleId="HeaderChar">
    <w:name w:val="Header Char"/>
    <w:basedOn w:val="DefaultParagraphFont"/>
    <w:link w:val="Header"/>
    <w:rsid w:val="00295824"/>
  </w:style>
  <w:style w:type="paragraph" w:styleId="Footer">
    <w:name w:val="footer"/>
    <w:basedOn w:val="Normal"/>
    <w:link w:val="FooterChar"/>
    <w:unhideWhenUsed/>
    <w:rsid w:val="00295824"/>
    <w:pPr>
      <w:tabs>
        <w:tab w:val="center" w:pos="4513"/>
        <w:tab w:val="right" w:pos="9026"/>
      </w:tabs>
      <w:spacing w:after="0"/>
    </w:pPr>
  </w:style>
  <w:style w:type="character" w:customStyle="1" w:styleId="FooterChar">
    <w:name w:val="Footer Char"/>
    <w:basedOn w:val="DefaultParagraphFont"/>
    <w:link w:val="Footer"/>
    <w:rsid w:val="002958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2339">
      <w:bodyDiv w:val="1"/>
      <w:marLeft w:val="0"/>
      <w:marRight w:val="0"/>
      <w:marTop w:val="0"/>
      <w:marBottom w:val="0"/>
      <w:divBdr>
        <w:top w:val="none" w:sz="0" w:space="0" w:color="auto"/>
        <w:left w:val="none" w:sz="0" w:space="0" w:color="auto"/>
        <w:bottom w:val="none" w:sz="0" w:space="0" w:color="auto"/>
        <w:right w:val="none" w:sz="0" w:space="0" w:color="auto"/>
      </w:divBdr>
    </w:div>
    <w:div w:id="1224321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r/mZdaAQ2uHZ" TargetMode="External"/><Relationship Id="rId18" Type="http://schemas.openxmlformats.org/officeDocument/2006/relationships/hyperlink" Target="aib_statistics@gov.scot" TargetMode="External"/><Relationship Id="rId26" Type="http://schemas.openxmlformats.org/officeDocument/2006/relationships/image" Target="media/image9.png"/><Relationship Id="rId39" Type="http://schemas.openxmlformats.org/officeDocument/2006/relationships/hyperlink" Target="https://eden.aib.gov.uk/dasregister" TargetMode="External"/><Relationship Id="rId21" Type="http://schemas.openxmlformats.org/officeDocument/2006/relationships/image" Target="media/image4.png"/><Relationship Id="rId34" Type="http://schemas.openxmlformats.org/officeDocument/2006/relationships/hyperlink" Target="https://statistics.gov.scot/resource?uri=http%3A%2F%2Fstatistics.gov.scot%2Fdata%2Fstandard-geography-code-register" TargetMode="External"/><Relationship Id="rId42" Type="http://schemas.openxmlformats.org/officeDocument/2006/relationships/hyperlink" Target="https://www.gov.scot/publications/official-statistics-forthcoming-publicatio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scot/publications/about-our-statistics/"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witter.com/AiB_updates" TargetMode="External"/><Relationship Id="rId24" Type="http://schemas.openxmlformats.org/officeDocument/2006/relationships/image" Target="media/image7.png"/><Relationship Id="rId32" Type="http://schemas.openxmlformats.org/officeDocument/2006/relationships/hyperlink" Target="https://www.gov.scot/publications/official-statistics-forthcoming-publications/" TargetMode="External"/><Relationship Id="rId37" Type="http://schemas.openxmlformats.org/officeDocument/2006/relationships/hyperlink" Target="https://www.aib.gov.uk/about-aib/statistics-data/quarterly-statistics" TargetMode="External"/><Relationship Id="rId40" Type="http://schemas.openxmlformats.org/officeDocument/2006/relationships/hyperlink" Target="mailto:statistics.enquiries@gov.sco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mailto:statistics.enquiries@gov.scot" TargetMode="External"/><Relationship Id="rId10" Type="http://schemas.openxmlformats.org/officeDocument/2006/relationships/hyperlink" Target="AIB_Communications@gov.scot"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ib.gov.uk/about-aib/statistics-data/scottish-statutory-debt-solutions-statistics-annual-edition" TargetMode="External"/><Relationship Id="rId14" Type="http://schemas.openxmlformats.org/officeDocument/2006/relationships/hyperlink" Target="aib_statistics@gov.sco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aib_statistics@gov.scot" TargetMode="External"/><Relationship Id="rId43" Type="http://schemas.openxmlformats.org/officeDocument/2006/relationships/hyperlink" Target="http://www.nationalarchives.gov.uk/doc/open-government-licence/version/3/" TargetMode="External"/><Relationship Id="rId8" Type="http://schemas.openxmlformats.org/officeDocument/2006/relationships/hyperlink" Target="aib_statistics@gov.scot" TargetMode="External"/><Relationship Id="rId3" Type="http://schemas.openxmlformats.org/officeDocument/2006/relationships/styles" Target="styles.xml"/><Relationship Id="rId12" Type="http://schemas.openxmlformats.org/officeDocument/2006/relationships/hyperlink" Target="https://www.twitter.com/ScotStat" TargetMode="External"/><Relationship Id="rId17" Type="http://schemas.openxmlformats.org/officeDocument/2006/relationships/hyperlink" Target="https://www.gov.scot/publications/official-statistics-forthcoming-publications/" TargetMode="External"/><Relationship Id="rId25" Type="http://schemas.openxmlformats.org/officeDocument/2006/relationships/image" Target="media/image8.png"/><Relationship Id="rId33" Type="http://schemas.openxmlformats.org/officeDocument/2006/relationships/hyperlink" Target="https://www.gov.uk/government/collections/individual-insolvency-statistics-releases" TargetMode="External"/><Relationship Id="rId38" Type="http://schemas.openxmlformats.org/officeDocument/2006/relationships/hyperlink" Target="https://roi.aib.gov.uk/roi/" TargetMode="Externa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blogs.gov.scot/statistic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C56D0-6575-4418-B94C-E3E36ABB7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48</Pages>
  <Words>10820</Words>
  <Characters>61680</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Scottish Statutory Debt Solutions Statistics, April 2022 to March 2023</vt:lpstr>
    </vt:vector>
  </TitlesOfParts>
  <Company>Scottish Government</Company>
  <LinksUpToDate>false</LinksUpToDate>
  <CharactersWithSpaces>72356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Statutory Debt Solutions Statistics, April 2022 to March 2023</dc:title>
  <dc:creator>Catherine Mcauley</dc:creator>
  <cp:keywords/>
  <cp:lastModifiedBy>Catherine Mcauley</cp:lastModifiedBy>
  <cp:revision>4</cp:revision>
  <dcterms:created xsi:type="dcterms:W3CDTF">2023-08-04T17:18:00Z</dcterms:created>
  <dcterms:modified xsi:type="dcterms:W3CDTF">2023-08-06T21:12:00Z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toc-title">
    <vt:lpwstr>Table of Contents</vt:lpwstr>
  </property>
</Properties>
</file>