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48EC7" w14:textId="77777777" w:rsidR="00E90427" w:rsidRDefault="00E90427" w:rsidP="00AC1699">
      <w:pPr>
        <w:spacing w:after="0"/>
        <w:contextualSpacing/>
        <w:rPr>
          <w:rFonts w:ascii="Century Gothic" w:eastAsia="Yu Gothic Light" w:hAnsi="Century Gothic" w:cs="Times New Roman"/>
          <w:b/>
          <w:bCs/>
          <w:color w:val="153D63" w:themeColor="text2" w:themeTint="E6"/>
          <w:spacing w:val="10"/>
          <w:kern w:val="28"/>
          <w:sz w:val="28"/>
          <w:szCs w:val="28"/>
        </w:rPr>
      </w:pPr>
      <w:bookmarkStart w:id="0" w:name="_Toc222222308"/>
    </w:p>
    <w:p w14:paraId="4F0EA0A9" w14:textId="77777777" w:rsidR="00E90427" w:rsidRDefault="00E90427" w:rsidP="00AC1699">
      <w:pPr>
        <w:spacing w:after="0"/>
        <w:contextualSpacing/>
        <w:rPr>
          <w:rFonts w:ascii="Century Gothic" w:eastAsia="Yu Gothic Light" w:hAnsi="Century Gothic" w:cs="Times New Roman"/>
          <w:b/>
          <w:bCs/>
          <w:color w:val="153D63" w:themeColor="text2" w:themeTint="E6"/>
          <w:spacing w:val="10"/>
          <w:kern w:val="28"/>
          <w:sz w:val="28"/>
          <w:szCs w:val="28"/>
        </w:rPr>
      </w:pPr>
    </w:p>
    <w:p w14:paraId="625D3B89" w14:textId="77777777" w:rsidR="00E90427" w:rsidRDefault="00E90427" w:rsidP="00AC1699">
      <w:pPr>
        <w:spacing w:after="0"/>
        <w:contextualSpacing/>
        <w:rPr>
          <w:rFonts w:ascii="Century Gothic" w:eastAsia="Yu Gothic Light" w:hAnsi="Century Gothic" w:cs="Times New Roman"/>
          <w:b/>
          <w:bCs/>
          <w:color w:val="153D63" w:themeColor="text2" w:themeTint="E6"/>
          <w:spacing w:val="10"/>
          <w:kern w:val="28"/>
          <w:sz w:val="28"/>
          <w:szCs w:val="28"/>
        </w:rPr>
      </w:pPr>
    </w:p>
    <w:p w14:paraId="00DCB1CB" w14:textId="77777777" w:rsidR="00E90427" w:rsidRDefault="00E90427" w:rsidP="00AC1699">
      <w:pPr>
        <w:spacing w:after="0"/>
        <w:contextualSpacing/>
        <w:rPr>
          <w:rFonts w:ascii="Century Gothic" w:eastAsia="Yu Gothic Light" w:hAnsi="Century Gothic" w:cs="Times New Roman"/>
          <w:b/>
          <w:bCs/>
          <w:color w:val="153D63" w:themeColor="text2" w:themeTint="E6"/>
          <w:spacing w:val="10"/>
          <w:kern w:val="28"/>
          <w:sz w:val="28"/>
          <w:szCs w:val="28"/>
        </w:rPr>
      </w:pPr>
    </w:p>
    <w:p w14:paraId="0CAC489B" w14:textId="77777777" w:rsidR="00E90427" w:rsidRDefault="00E90427" w:rsidP="00AC1699">
      <w:pPr>
        <w:spacing w:after="0"/>
        <w:contextualSpacing/>
        <w:rPr>
          <w:rFonts w:ascii="Century Gothic" w:eastAsia="Yu Gothic Light" w:hAnsi="Century Gothic" w:cs="Times New Roman"/>
          <w:b/>
          <w:bCs/>
          <w:color w:val="153D63" w:themeColor="text2" w:themeTint="E6"/>
          <w:spacing w:val="10"/>
          <w:kern w:val="28"/>
          <w:sz w:val="28"/>
          <w:szCs w:val="28"/>
        </w:rPr>
      </w:pPr>
    </w:p>
    <w:p w14:paraId="29DF559A" w14:textId="77777777" w:rsidR="00E90427" w:rsidRDefault="00E90427" w:rsidP="00AC1699">
      <w:pPr>
        <w:spacing w:after="0"/>
        <w:contextualSpacing/>
        <w:rPr>
          <w:rFonts w:ascii="Century Gothic" w:eastAsia="Yu Gothic Light" w:hAnsi="Century Gothic" w:cs="Times New Roman"/>
          <w:b/>
          <w:bCs/>
          <w:color w:val="153D63" w:themeColor="text2" w:themeTint="E6"/>
          <w:spacing w:val="10"/>
          <w:kern w:val="28"/>
          <w:sz w:val="28"/>
          <w:szCs w:val="28"/>
        </w:rPr>
      </w:pPr>
    </w:p>
    <w:p w14:paraId="1F239A20" w14:textId="486A1CCA" w:rsidR="00442F58" w:rsidRDefault="00442F58" w:rsidP="00AC1699">
      <w:pPr>
        <w:spacing w:after="0"/>
        <w:contextualSpacing/>
        <w:rPr>
          <w:rFonts w:ascii="Century Gothic" w:eastAsia="Yu Gothic Light" w:hAnsi="Century Gothic" w:cs="Times New Roman"/>
          <w:b/>
          <w:bCs/>
          <w:color w:val="153D63" w:themeColor="text2" w:themeTint="E6"/>
          <w:spacing w:val="10"/>
          <w:kern w:val="28"/>
          <w:sz w:val="28"/>
          <w:szCs w:val="28"/>
        </w:rPr>
      </w:pPr>
      <w:r w:rsidRPr="00442F58">
        <w:rPr>
          <w:rFonts w:ascii="Century Gothic" w:eastAsia="Yu Gothic Light" w:hAnsi="Century Gothic" w:cs="Times New Roman"/>
          <w:b/>
          <w:bCs/>
          <w:color w:val="153D63" w:themeColor="text2" w:themeTint="E6"/>
          <w:spacing w:val="10"/>
          <w:kern w:val="28"/>
          <w:sz w:val="28"/>
          <w:szCs w:val="28"/>
        </w:rPr>
        <w:t xml:space="preserve">STAGE THREE REVIEW </w:t>
      </w:r>
    </w:p>
    <w:p w14:paraId="104BB843" w14:textId="77777777" w:rsidR="008A01F7" w:rsidRDefault="0083685B" w:rsidP="008A01F7">
      <w:pPr>
        <w:spacing w:after="0" w:line="240" w:lineRule="auto"/>
        <w:contextualSpacing/>
        <w:rPr>
          <w:rFonts w:ascii="Century Gothic" w:eastAsia="Yu Gothic Light" w:hAnsi="Century Gothic" w:cs="Times New Roman"/>
          <w:b/>
          <w:bCs/>
          <w:spacing w:val="-10"/>
          <w:kern w:val="28"/>
          <w:sz w:val="72"/>
          <w:szCs w:val="72"/>
        </w:rPr>
      </w:pPr>
      <w:r w:rsidRPr="00442F58">
        <w:rPr>
          <w:rFonts w:ascii="Century Gothic" w:eastAsia="Yu Gothic Light" w:hAnsi="Century Gothic" w:cs="Times New Roman"/>
          <w:b/>
          <w:bCs/>
          <w:spacing w:val="-10"/>
          <w:kern w:val="28"/>
          <w:sz w:val="72"/>
          <w:szCs w:val="72"/>
        </w:rPr>
        <w:t>F</w:t>
      </w:r>
      <w:r>
        <w:rPr>
          <w:rFonts w:ascii="Century Gothic" w:eastAsia="Yu Gothic Light" w:hAnsi="Century Gothic" w:cs="Times New Roman"/>
          <w:b/>
          <w:bCs/>
          <w:spacing w:val="-10"/>
          <w:kern w:val="28"/>
          <w:sz w:val="72"/>
          <w:szCs w:val="72"/>
        </w:rPr>
        <w:t>inal</w:t>
      </w:r>
    </w:p>
    <w:p w14:paraId="092B5138" w14:textId="6A30678E" w:rsidR="008610C4" w:rsidRDefault="0083685B" w:rsidP="00BD77E6">
      <w:pPr>
        <w:spacing w:after="0" w:line="240" w:lineRule="auto"/>
        <w:contextualSpacing/>
        <w:rPr>
          <w:rFonts w:ascii="Century Gothic" w:eastAsia="Yu Gothic Light" w:hAnsi="Century Gothic" w:cs="Times New Roman"/>
          <w:b/>
          <w:bCs/>
          <w:spacing w:val="-10"/>
          <w:kern w:val="28"/>
          <w:sz w:val="72"/>
          <w:szCs w:val="72"/>
        </w:rPr>
      </w:pPr>
      <w:r>
        <w:rPr>
          <w:rFonts w:ascii="Century Gothic" w:eastAsia="Yu Gothic Light" w:hAnsi="Century Gothic" w:cs="Times New Roman"/>
          <w:b/>
          <w:bCs/>
          <w:spacing w:val="-10"/>
          <w:kern w:val="28"/>
          <w:sz w:val="72"/>
          <w:szCs w:val="72"/>
        </w:rPr>
        <w:t>Report</w:t>
      </w:r>
    </w:p>
    <w:p w14:paraId="19B2D486" w14:textId="77777777" w:rsidR="00E66254" w:rsidRDefault="00E66254" w:rsidP="00BD77E6">
      <w:pPr>
        <w:spacing w:after="0" w:line="240" w:lineRule="auto"/>
        <w:contextualSpacing/>
        <w:rPr>
          <w:rFonts w:ascii="Century Gothic" w:eastAsia="Yu Gothic Light" w:hAnsi="Century Gothic" w:cs="Times New Roman"/>
          <w:b/>
          <w:bCs/>
          <w:spacing w:val="-10"/>
          <w:kern w:val="28"/>
          <w:sz w:val="28"/>
          <w:szCs w:val="28"/>
        </w:rPr>
      </w:pPr>
    </w:p>
    <w:p w14:paraId="04F79D1D" w14:textId="45FB7AD7" w:rsidR="00BD77E6" w:rsidRPr="00E66254" w:rsidRDefault="00E66254" w:rsidP="00BD77E6">
      <w:pPr>
        <w:spacing w:after="0" w:line="240" w:lineRule="auto"/>
        <w:contextualSpacing/>
        <w:rPr>
          <w:rFonts w:ascii="Century Gothic" w:eastAsia="Yu Gothic Light" w:hAnsi="Century Gothic" w:cs="Times New Roman"/>
          <w:b/>
          <w:bCs/>
          <w:spacing w:val="-10"/>
          <w:kern w:val="28"/>
          <w:sz w:val="28"/>
          <w:szCs w:val="28"/>
        </w:rPr>
      </w:pPr>
      <w:r>
        <w:rPr>
          <w:rFonts w:ascii="Century Gothic" w:eastAsia="Yu Gothic Light" w:hAnsi="Century Gothic" w:cs="Times New Roman"/>
          <w:b/>
          <w:bCs/>
          <w:spacing w:val="-10"/>
          <w:kern w:val="28"/>
          <w:sz w:val="28"/>
          <w:szCs w:val="28"/>
        </w:rPr>
        <w:t>March 2026</w:t>
      </w:r>
    </w:p>
    <w:p w14:paraId="59EE837D" w14:textId="77777777" w:rsidR="000D379C" w:rsidRDefault="000D379C" w:rsidP="00BD77E6">
      <w:pPr>
        <w:spacing w:after="0" w:line="240" w:lineRule="auto"/>
        <w:contextualSpacing/>
        <w:rPr>
          <w:rFonts w:ascii="Century Gothic" w:eastAsia="Yu Gothic Light" w:hAnsi="Century Gothic" w:cs="Times New Roman"/>
          <w:b/>
          <w:bCs/>
          <w:spacing w:val="-10"/>
          <w:kern w:val="28"/>
          <w:sz w:val="72"/>
          <w:szCs w:val="72"/>
        </w:rPr>
      </w:pPr>
    </w:p>
    <w:p w14:paraId="19B9F61C" w14:textId="77777777" w:rsidR="000D379C" w:rsidRDefault="000D379C" w:rsidP="00BD77E6">
      <w:pPr>
        <w:spacing w:after="0" w:line="240" w:lineRule="auto"/>
        <w:contextualSpacing/>
        <w:rPr>
          <w:rFonts w:ascii="Century Gothic" w:eastAsia="Yu Gothic Light" w:hAnsi="Century Gothic" w:cs="Times New Roman"/>
          <w:b/>
          <w:bCs/>
          <w:spacing w:val="-10"/>
          <w:kern w:val="28"/>
          <w:sz w:val="72"/>
          <w:szCs w:val="72"/>
        </w:rPr>
      </w:pPr>
    </w:p>
    <w:p w14:paraId="1384EB65" w14:textId="77777777" w:rsidR="000D379C" w:rsidRPr="008A01F7" w:rsidRDefault="000D379C" w:rsidP="00BD77E6">
      <w:pPr>
        <w:spacing w:after="0" w:line="240" w:lineRule="auto"/>
        <w:contextualSpacing/>
        <w:rPr>
          <w:rFonts w:ascii="Century Gothic" w:eastAsia="Yu Gothic Light" w:hAnsi="Century Gothic" w:cs="Times New Roman"/>
          <w:b/>
          <w:bCs/>
          <w:spacing w:val="-10"/>
          <w:kern w:val="28"/>
          <w:sz w:val="72"/>
          <w:szCs w:val="72"/>
        </w:rPr>
      </w:pPr>
    </w:p>
    <w:p w14:paraId="6F6914E5" w14:textId="589B3B49" w:rsidR="00B54779" w:rsidRPr="00442F58" w:rsidRDefault="00442F58" w:rsidP="00BD77E6">
      <w:pPr>
        <w:spacing w:after="0" w:line="240" w:lineRule="auto"/>
        <w:ind w:hanging="1418"/>
        <w:contextualSpacing/>
        <w:rPr>
          <w:rFonts w:ascii="Century Gothic" w:eastAsia="Yu Gothic Light" w:hAnsi="Century Gothic" w:cs="Times New Roman"/>
          <w:b/>
          <w:bCs/>
          <w:spacing w:val="-10"/>
          <w:kern w:val="28"/>
          <w:sz w:val="72"/>
          <w:szCs w:val="72"/>
        </w:rPr>
      </w:pPr>
      <w:r>
        <w:rPr>
          <w:rFonts w:ascii="Century Gothic" w:eastAsia="Yu Gothic Light" w:hAnsi="Century Gothic" w:cs="Times New Roman"/>
          <w:b/>
          <w:bCs/>
          <w:noProof/>
          <w:spacing w:val="-10"/>
          <w:kern w:val="28"/>
          <w:sz w:val="72"/>
          <w:szCs w:val="72"/>
        </w:rPr>
        <w:drawing>
          <wp:inline distT="0" distB="0" distL="0" distR="0" wp14:anchorId="52DD4442" wp14:editId="291FC315">
            <wp:extent cx="7569200" cy="3068320"/>
            <wp:effectExtent l="0" t="0" r="3175" b="0"/>
            <wp:docPr id="2039254285" name="Picture 1" descr="The Edinburgh sk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54285" name="Picture 1" descr="The Edinburgh skyline"/>
                    <pic:cNvPicPr/>
                  </pic:nvPicPr>
                  <pic:blipFill rotWithShape="1">
                    <a:blip r:embed="rId11" cstate="print">
                      <a:extLst>
                        <a:ext uri="{28A0092B-C50C-407E-A947-70E740481C1C}">
                          <a14:useLocalDpi xmlns:a14="http://schemas.microsoft.com/office/drawing/2010/main" val="0"/>
                        </a:ext>
                      </a:extLst>
                    </a:blip>
                    <a:srcRect t="6452" b="32790"/>
                    <a:stretch>
                      <a:fillRect/>
                    </a:stretch>
                  </pic:blipFill>
                  <pic:spPr bwMode="auto">
                    <a:xfrm>
                      <a:off x="0" y="0"/>
                      <a:ext cx="7569200" cy="3068320"/>
                    </a:xfrm>
                    <a:prstGeom prst="rect">
                      <a:avLst/>
                    </a:prstGeom>
                    <a:ln>
                      <a:noFill/>
                    </a:ln>
                    <a:extLst>
                      <a:ext uri="{53640926-AAD7-44D8-BBD7-CCE9431645EC}">
                        <a14:shadowObscured xmlns:a14="http://schemas.microsoft.com/office/drawing/2010/main"/>
                      </a:ext>
                    </a:extLst>
                  </pic:spPr>
                </pic:pic>
              </a:graphicData>
            </a:graphic>
          </wp:inline>
        </w:drawing>
      </w:r>
      <w:r w:rsidR="0083685B" w:rsidRPr="00442F58" w:rsidDel="0083685B">
        <w:rPr>
          <w:rFonts w:ascii="Century Gothic" w:eastAsia="Yu Gothic Light" w:hAnsi="Century Gothic" w:cs="Times New Roman"/>
          <w:b/>
          <w:bCs/>
          <w:spacing w:val="-10"/>
          <w:kern w:val="28"/>
          <w:sz w:val="72"/>
          <w:szCs w:val="72"/>
        </w:rPr>
        <w:t xml:space="preserve"> </w:t>
      </w:r>
      <w:r w:rsidR="00B54779">
        <w:rPr>
          <w:b/>
          <w:bCs/>
        </w:rPr>
        <w:br w:type="page"/>
      </w:r>
    </w:p>
    <w:p w14:paraId="4F229E56" w14:textId="77777777" w:rsidR="007D2706" w:rsidRDefault="00375D31" w:rsidP="007D2706">
      <w:pPr>
        <w:pStyle w:val="Heading1"/>
        <w:rPr>
          <w:noProof/>
        </w:rPr>
      </w:pPr>
      <w:bookmarkStart w:id="1" w:name="_Toc223430423"/>
      <w:bookmarkStart w:id="2" w:name="_Toc224203483"/>
      <w:bookmarkStart w:id="3" w:name="_Toc224203514"/>
      <w:r>
        <w:lastRenderedPageBreak/>
        <w:t xml:space="preserve">Table of </w:t>
      </w:r>
      <w:r w:rsidRPr="005B12C5">
        <w:t>contents</w:t>
      </w:r>
      <w:bookmarkEnd w:id="0"/>
      <w:bookmarkEnd w:id="1"/>
      <w:bookmarkEnd w:id="2"/>
      <w:bookmarkEnd w:id="3"/>
      <w:r w:rsidR="007D2706">
        <w:rPr>
          <w:color w:val="3A3A3A" w:themeColor="background2" w:themeShade="40"/>
          <w:sz w:val="24"/>
          <w:szCs w:val="36"/>
        </w:rPr>
        <w:fldChar w:fldCharType="begin"/>
      </w:r>
      <w:r w:rsidR="007D2706">
        <w:rPr>
          <w:color w:val="3A3A3A" w:themeColor="background2" w:themeShade="40"/>
          <w:sz w:val="24"/>
          <w:szCs w:val="36"/>
        </w:rPr>
        <w:instrText xml:space="preserve"> TOC \o "1-2" \h \z \u </w:instrText>
      </w:r>
      <w:r w:rsidR="007D2706">
        <w:rPr>
          <w:color w:val="3A3A3A" w:themeColor="background2" w:themeShade="40"/>
          <w:sz w:val="24"/>
          <w:szCs w:val="36"/>
        </w:rPr>
        <w:fldChar w:fldCharType="separate"/>
      </w:r>
    </w:p>
    <w:p w14:paraId="5B56AB41" w14:textId="7BC133C0" w:rsidR="007D2706" w:rsidRDefault="007D2706">
      <w:pPr>
        <w:pStyle w:val="TOC1"/>
        <w:tabs>
          <w:tab w:val="right" w:leader="dot" w:pos="9016"/>
        </w:tabs>
        <w:rPr>
          <w:rFonts w:asciiTheme="minorHAnsi" w:eastAsiaTheme="minorEastAsia" w:hAnsiTheme="minorHAnsi"/>
          <w:noProof/>
          <w:szCs w:val="24"/>
          <w:lang w:eastAsia="en-GB"/>
        </w:rPr>
      </w:pPr>
      <w:hyperlink w:anchor="_Toc224203515" w:history="1">
        <w:r w:rsidRPr="00415079">
          <w:rPr>
            <w:rStyle w:val="Hyperlink"/>
            <w:noProof/>
          </w:rPr>
          <w:t>Foreword from the Review Team</w:t>
        </w:r>
        <w:r>
          <w:rPr>
            <w:noProof/>
            <w:webHidden/>
          </w:rPr>
          <w:tab/>
        </w:r>
        <w:r>
          <w:rPr>
            <w:noProof/>
            <w:webHidden/>
          </w:rPr>
          <w:fldChar w:fldCharType="begin"/>
        </w:r>
        <w:r>
          <w:rPr>
            <w:noProof/>
            <w:webHidden/>
          </w:rPr>
          <w:instrText xml:space="preserve"> PAGEREF _Toc224203515 \h </w:instrText>
        </w:r>
        <w:r>
          <w:rPr>
            <w:noProof/>
            <w:webHidden/>
          </w:rPr>
        </w:r>
        <w:r>
          <w:rPr>
            <w:noProof/>
            <w:webHidden/>
          </w:rPr>
          <w:fldChar w:fldCharType="separate"/>
        </w:r>
        <w:r>
          <w:rPr>
            <w:noProof/>
            <w:webHidden/>
          </w:rPr>
          <w:t>1</w:t>
        </w:r>
        <w:r>
          <w:rPr>
            <w:noProof/>
            <w:webHidden/>
          </w:rPr>
          <w:fldChar w:fldCharType="end"/>
        </w:r>
      </w:hyperlink>
    </w:p>
    <w:p w14:paraId="26F4B1CF" w14:textId="088C2C07" w:rsidR="007D2706" w:rsidRDefault="007D2706">
      <w:pPr>
        <w:pStyle w:val="TOC1"/>
        <w:tabs>
          <w:tab w:val="right" w:leader="dot" w:pos="9016"/>
        </w:tabs>
        <w:rPr>
          <w:rFonts w:asciiTheme="minorHAnsi" w:eastAsiaTheme="minorEastAsia" w:hAnsiTheme="minorHAnsi"/>
          <w:noProof/>
          <w:szCs w:val="24"/>
          <w:lang w:eastAsia="en-GB"/>
        </w:rPr>
      </w:pPr>
      <w:hyperlink w:anchor="_Toc224203516" w:history="1">
        <w:r w:rsidRPr="00415079">
          <w:rPr>
            <w:rStyle w:val="Hyperlink"/>
            <w:noProof/>
          </w:rPr>
          <w:t>The Review</w:t>
        </w:r>
        <w:r>
          <w:rPr>
            <w:noProof/>
            <w:webHidden/>
          </w:rPr>
          <w:tab/>
        </w:r>
        <w:r>
          <w:rPr>
            <w:noProof/>
            <w:webHidden/>
          </w:rPr>
          <w:fldChar w:fldCharType="begin"/>
        </w:r>
        <w:r>
          <w:rPr>
            <w:noProof/>
            <w:webHidden/>
          </w:rPr>
          <w:instrText xml:space="preserve"> PAGEREF _Toc224203516 \h </w:instrText>
        </w:r>
        <w:r>
          <w:rPr>
            <w:noProof/>
            <w:webHidden/>
          </w:rPr>
        </w:r>
        <w:r>
          <w:rPr>
            <w:noProof/>
            <w:webHidden/>
          </w:rPr>
          <w:fldChar w:fldCharType="separate"/>
        </w:r>
        <w:r>
          <w:rPr>
            <w:noProof/>
            <w:webHidden/>
          </w:rPr>
          <w:t>4</w:t>
        </w:r>
        <w:r>
          <w:rPr>
            <w:noProof/>
            <w:webHidden/>
          </w:rPr>
          <w:fldChar w:fldCharType="end"/>
        </w:r>
      </w:hyperlink>
    </w:p>
    <w:p w14:paraId="145619D5" w14:textId="7F9B430C" w:rsidR="007D2706" w:rsidRDefault="007D2706">
      <w:pPr>
        <w:pStyle w:val="TOC2"/>
        <w:tabs>
          <w:tab w:val="right" w:leader="dot" w:pos="9016"/>
        </w:tabs>
        <w:rPr>
          <w:rFonts w:asciiTheme="minorHAnsi" w:eastAsiaTheme="minorEastAsia" w:hAnsiTheme="minorHAnsi"/>
          <w:noProof/>
          <w:szCs w:val="24"/>
          <w:lang w:eastAsia="en-GB"/>
        </w:rPr>
      </w:pPr>
      <w:hyperlink w:anchor="_Toc224203517" w:history="1">
        <w:r w:rsidRPr="00415079">
          <w:rPr>
            <w:rStyle w:val="Hyperlink"/>
            <w:noProof/>
          </w:rPr>
          <w:t>The three stages</w:t>
        </w:r>
        <w:r>
          <w:rPr>
            <w:noProof/>
            <w:webHidden/>
          </w:rPr>
          <w:tab/>
        </w:r>
        <w:r>
          <w:rPr>
            <w:noProof/>
            <w:webHidden/>
          </w:rPr>
          <w:fldChar w:fldCharType="begin"/>
        </w:r>
        <w:r>
          <w:rPr>
            <w:noProof/>
            <w:webHidden/>
          </w:rPr>
          <w:instrText xml:space="preserve"> PAGEREF _Toc224203517 \h </w:instrText>
        </w:r>
        <w:r>
          <w:rPr>
            <w:noProof/>
            <w:webHidden/>
          </w:rPr>
        </w:r>
        <w:r>
          <w:rPr>
            <w:noProof/>
            <w:webHidden/>
          </w:rPr>
          <w:fldChar w:fldCharType="separate"/>
        </w:r>
        <w:r>
          <w:rPr>
            <w:noProof/>
            <w:webHidden/>
          </w:rPr>
          <w:t>4</w:t>
        </w:r>
        <w:r>
          <w:rPr>
            <w:noProof/>
            <w:webHidden/>
          </w:rPr>
          <w:fldChar w:fldCharType="end"/>
        </w:r>
      </w:hyperlink>
    </w:p>
    <w:p w14:paraId="4629CCBB" w14:textId="6DE75720" w:rsidR="007D2706" w:rsidRDefault="007D2706">
      <w:pPr>
        <w:pStyle w:val="TOC2"/>
        <w:tabs>
          <w:tab w:val="right" w:leader="dot" w:pos="9016"/>
        </w:tabs>
        <w:rPr>
          <w:rFonts w:asciiTheme="minorHAnsi" w:eastAsiaTheme="minorEastAsia" w:hAnsiTheme="minorHAnsi"/>
          <w:noProof/>
          <w:szCs w:val="24"/>
          <w:lang w:eastAsia="en-GB"/>
        </w:rPr>
      </w:pPr>
      <w:hyperlink w:anchor="_Toc224203518" w:history="1">
        <w:r w:rsidRPr="00415079">
          <w:rPr>
            <w:rStyle w:val="Hyperlink"/>
            <w:noProof/>
          </w:rPr>
          <w:t>Consultation and research</w:t>
        </w:r>
        <w:r>
          <w:rPr>
            <w:noProof/>
            <w:webHidden/>
          </w:rPr>
          <w:tab/>
        </w:r>
        <w:r>
          <w:rPr>
            <w:noProof/>
            <w:webHidden/>
          </w:rPr>
          <w:fldChar w:fldCharType="begin"/>
        </w:r>
        <w:r>
          <w:rPr>
            <w:noProof/>
            <w:webHidden/>
          </w:rPr>
          <w:instrText xml:space="preserve"> PAGEREF _Toc224203518 \h </w:instrText>
        </w:r>
        <w:r>
          <w:rPr>
            <w:noProof/>
            <w:webHidden/>
          </w:rPr>
        </w:r>
        <w:r>
          <w:rPr>
            <w:noProof/>
            <w:webHidden/>
          </w:rPr>
          <w:fldChar w:fldCharType="separate"/>
        </w:r>
        <w:r>
          <w:rPr>
            <w:noProof/>
            <w:webHidden/>
          </w:rPr>
          <w:t>5</w:t>
        </w:r>
        <w:r>
          <w:rPr>
            <w:noProof/>
            <w:webHidden/>
          </w:rPr>
          <w:fldChar w:fldCharType="end"/>
        </w:r>
      </w:hyperlink>
    </w:p>
    <w:p w14:paraId="4C9FFF4B" w14:textId="13505F85" w:rsidR="007D2706" w:rsidRDefault="007D2706">
      <w:pPr>
        <w:pStyle w:val="TOC1"/>
        <w:tabs>
          <w:tab w:val="right" w:leader="dot" w:pos="9016"/>
        </w:tabs>
        <w:rPr>
          <w:rFonts w:asciiTheme="minorHAnsi" w:eastAsiaTheme="minorEastAsia" w:hAnsiTheme="minorHAnsi"/>
          <w:noProof/>
          <w:szCs w:val="24"/>
          <w:lang w:eastAsia="en-GB"/>
        </w:rPr>
      </w:pPr>
      <w:hyperlink w:anchor="_Toc224203519" w:history="1">
        <w:r w:rsidRPr="00415079">
          <w:rPr>
            <w:rStyle w:val="Hyperlink"/>
            <w:noProof/>
          </w:rPr>
          <w:t>Core recommendations</w:t>
        </w:r>
        <w:r>
          <w:rPr>
            <w:noProof/>
            <w:webHidden/>
          </w:rPr>
          <w:tab/>
        </w:r>
        <w:r>
          <w:rPr>
            <w:noProof/>
            <w:webHidden/>
          </w:rPr>
          <w:fldChar w:fldCharType="begin"/>
        </w:r>
        <w:r>
          <w:rPr>
            <w:noProof/>
            <w:webHidden/>
          </w:rPr>
          <w:instrText xml:space="preserve"> PAGEREF _Toc224203519 \h </w:instrText>
        </w:r>
        <w:r>
          <w:rPr>
            <w:noProof/>
            <w:webHidden/>
          </w:rPr>
        </w:r>
        <w:r>
          <w:rPr>
            <w:noProof/>
            <w:webHidden/>
          </w:rPr>
          <w:fldChar w:fldCharType="separate"/>
        </w:r>
        <w:r>
          <w:rPr>
            <w:noProof/>
            <w:webHidden/>
          </w:rPr>
          <w:t>7</w:t>
        </w:r>
        <w:r>
          <w:rPr>
            <w:noProof/>
            <w:webHidden/>
          </w:rPr>
          <w:fldChar w:fldCharType="end"/>
        </w:r>
      </w:hyperlink>
    </w:p>
    <w:p w14:paraId="3111C686" w14:textId="2F712E30" w:rsidR="007D2706" w:rsidRDefault="007D2706">
      <w:pPr>
        <w:pStyle w:val="TOC2"/>
        <w:tabs>
          <w:tab w:val="right" w:leader="dot" w:pos="9016"/>
        </w:tabs>
        <w:rPr>
          <w:rFonts w:asciiTheme="minorHAnsi" w:eastAsiaTheme="minorEastAsia" w:hAnsiTheme="minorHAnsi"/>
          <w:noProof/>
          <w:szCs w:val="24"/>
          <w:lang w:eastAsia="en-GB"/>
        </w:rPr>
      </w:pPr>
      <w:hyperlink w:anchor="_Toc224203520" w:history="1">
        <w:r w:rsidRPr="00415079">
          <w:rPr>
            <w:rStyle w:val="Hyperlink"/>
            <w:noProof/>
          </w:rPr>
          <w:t>Core Area One: Setting the Right Tone for the Regime</w:t>
        </w:r>
        <w:r>
          <w:rPr>
            <w:noProof/>
            <w:webHidden/>
          </w:rPr>
          <w:tab/>
        </w:r>
        <w:r>
          <w:rPr>
            <w:noProof/>
            <w:webHidden/>
          </w:rPr>
          <w:fldChar w:fldCharType="begin"/>
        </w:r>
        <w:r>
          <w:rPr>
            <w:noProof/>
            <w:webHidden/>
          </w:rPr>
          <w:instrText xml:space="preserve"> PAGEREF _Toc224203520 \h </w:instrText>
        </w:r>
        <w:r>
          <w:rPr>
            <w:noProof/>
            <w:webHidden/>
          </w:rPr>
        </w:r>
        <w:r>
          <w:rPr>
            <w:noProof/>
            <w:webHidden/>
          </w:rPr>
          <w:fldChar w:fldCharType="separate"/>
        </w:r>
        <w:r>
          <w:rPr>
            <w:noProof/>
            <w:webHidden/>
          </w:rPr>
          <w:t>8</w:t>
        </w:r>
        <w:r>
          <w:rPr>
            <w:noProof/>
            <w:webHidden/>
          </w:rPr>
          <w:fldChar w:fldCharType="end"/>
        </w:r>
      </w:hyperlink>
    </w:p>
    <w:p w14:paraId="11F9DA33" w14:textId="07D260A3" w:rsidR="007D2706" w:rsidRDefault="007D2706">
      <w:pPr>
        <w:pStyle w:val="TOC2"/>
        <w:tabs>
          <w:tab w:val="right" w:leader="dot" w:pos="9016"/>
        </w:tabs>
        <w:rPr>
          <w:rFonts w:asciiTheme="minorHAnsi" w:eastAsiaTheme="minorEastAsia" w:hAnsiTheme="minorHAnsi"/>
          <w:noProof/>
          <w:szCs w:val="24"/>
          <w:lang w:eastAsia="en-GB"/>
        </w:rPr>
      </w:pPr>
      <w:hyperlink w:anchor="_Toc224203521" w:history="1">
        <w:r w:rsidRPr="00415079">
          <w:rPr>
            <w:rStyle w:val="Hyperlink"/>
            <w:noProof/>
          </w:rPr>
          <w:t>Core Area Two: Better Joining-up the System</w:t>
        </w:r>
        <w:r>
          <w:rPr>
            <w:noProof/>
            <w:webHidden/>
          </w:rPr>
          <w:tab/>
        </w:r>
        <w:r>
          <w:rPr>
            <w:noProof/>
            <w:webHidden/>
          </w:rPr>
          <w:fldChar w:fldCharType="begin"/>
        </w:r>
        <w:r>
          <w:rPr>
            <w:noProof/>
            <w:webHidden/>
          </w:rPr>
          <w:instrText xml:space="preserve"> PAGEREF _Toc224203521 \h </w:instrText>
        </w:r>
        <w:r>
          <w:rPr>
            <w:noProof/>
            <w:webHidden/>
          </w:rPr>
        </w:r>
        <w:r>
          <w:rPr>
            <w:noProof/>
            <w:webHidden/>
          </w:rPr>
          <w:fldChar w:fldCharType="separate"/>
        </w:r>
        <w:r>
          <w:rPr>
            <w:noProof/>
            <w:webHidden/>
          </w:rPr>
          <w:t>11</w:t>
        </w:r>
        <w:r>
          <w:rPr>
            <w:noProof/>
            <w:webHidden/>
          </w:rPr>
          <w:fldChar w:fldCharType="end"/>
        </w:r>
      </w:hyperlink>
    </w:p>
    <w:p w14:paraId="39349000" w14:textId="1162A19A" w:rsidR="007D2706" w:rsidRDefault="007D2706">
      <w:pPr>
        <w:pStyle w:val="TOC2"/>
        <w:tabs>
          <w:tab w:val="right" w:leader="dot" w:pos="9016"/>
        </w:tabs>
        <w:rPr>
          <w:rFonts w:asciiTheme="minorHAnsi" w:eastAsiaTheme="minorEastAsia" w:hAnsiTheme="minorHAnsi"/>
          <w:noProof/>
          <w:szCs w:val="24"/>
          <w:lang w:eastAsia="en-GB"/>
        </w:rPr>
      </w:pPr>
      <w:hyperlink w:anchor="_Toc224203522" w:history="1">
        <w:r w:rsidRPr="00415079">
          <w:rPr>
            <w:rStyle w:val="Hyperlink"/>
            <w:noProof/>
          </w:rPr>
          <w:t>Core Area Three: Ensure Sufficient Access, Capacity and Expertise to Deliver the System</w:t>
        </w:r>
        <w:r>
          <w:rPr>
            <w:noProof/>
            <w:webHidden/>
          </w:rPr>
          <w:tab/>
        </w:r>
        <w:r>
          <w:rPr>
            <w:noProof/>
            <w:webHidden/>
          </w:rPr>
          <w:fldChar w:fldCharType="begin"/>
        </w:r>
        <w:r>
          <w:rPr>
            <w:noProof/>
            <w:webHidden/>
          </w:rPr>
          <w:instrText xml:space="preserve"> PAGEREF _Toc224203522 \h </w:instrText>
        </w:r>
        <w:r>
          <w:rPr>
            <w:noProof/>
            <w:webHidden/>
          </w:rPr>
        </w:r>
        <w:r>
          <w:rPr>
            <w:noProof/>
            <w:webHidden/>
          </w:rPr>
          <w:fldChar w:fldCharType="separate"/>
        </w:r>
        <w:r>
          <w:rPr>
            <w:noProof/>
            <w:webHidden/>
          </w:rPr>
          <w:t>14</w:t>
        </w:r>
        <w:r>
          <w:rPr>
            <w:noProof/>
            <w:webHidden/>
          </w:rPr>
          <w:fldChar w:fldCharType="end"/>
        </w:r>
      </w:hyperlink>
    </w:p>
    <w:p w14:paraId="30850FB1" w14:textId="5F46BA22" w:rsidR="007D2706" w:rsidRDefault="007D2706">
      <w:pPr>
        <w:pStyle w:val="TOC2"/>
        <w:tabs>
          <w:tab w:val="right" w:leader="dot" w:pos="9016"/>
        </w:tabs>
        <w:rPr>
          <w:rFonts w:asciiTheme="minorHAnsi" w:eastAsiaTheme="minorEastAsia" w:hAnsiTheme="minorHAnsi"/>
          <w:noProof/>
          <w:szCs w:val="24"/>
          <w:lang w:eastAsia="en-GB"/>
        </w:rPr>
      </w:pPr>
      <w:hyperlink w:anchor="_Toc224203523" w:history="1">
        <w:r w:rsidRPr="00415079">
          <w:rPr>
            <w:rStyle w:val="Hyperlink"/>
            <w:noProof/>
          </w:rPr>
          <w:t>Core Area Four: Better Serving the Self Employed and Small Business in the Insolvency Regime</w:t>
        </w:r>
        <w:r>
          <w:rPr>
            <w:noProof/>
            <w:webHidden/>
          </w:rPr>
          <w:tab/>
        </w:r>
        <w:r>
          <w:rPr>
            <w:noProof/>
            <w:webHidden/>
          </w:rPr>
          <w:fldChar w:fldCharType="begin"/>
        </w:r>
        <w:r>
          <w:rPr>
            <w:noProof/>
            <w:webHidden/>
          </w:rPr>
          <w:instrText xml:space="preserve"> PAGEREF _Toc224203523 \h </w:instrText>
        </w:r>
        <w:r>
          <w:rPr>
            <w:noProof/>
            <w:webHidden/>
          </w:rPr>
        </w:r>
        <w:r>
          <w:rPr>
            <w:noProof/>
            <w:webHidden/>
          </w:rPr>
          <w:fldChar w:fldCharType="separate"/>
        </w:r>
        <w:r>
          <w:rPr>
            <w:noProof/>
            <w:webHidden/>
          </w:rPr>
          <w:t>17</w:t>
        </w:r>
        <w:r>
          <w:rPr>
            <w:noProof/>
            <w:webHidden/>
          </w:rPr>
          <w:fldChar w:fldCharType="end"/>
        </w:r>
      </w:hyperlink>
    </w:p>
    <w:p w14:paraId="7BB7BBE9" w14:textId="6AB1CBAE" w:rsidR="007D2706" w:rsidRDefault="007D2706">
      <w:pPr>
        <w:pStyle w:val="TOC1"/>
        <w:tabs>
          <w:tab w:val="right" w:leader="dot" w:pos="9016"/>
        </w:tabs>
        <w:rPr>
          <w:rFonts w:asciiTheme="minorHAnsi" w:eastAsiaTheme="minorEastAsia" w:hAnsiTheme="minorHAnsi"/>
          <w:noProof/>
          <w:szCs w:val="24"/>
          <w:lang w:eastAsia="en-GB"/>
        </w:rPr>
      </w:pPr>
      <w:hyperlink w:anchor="_Toc224203524" w:history="1">
        <w:r w:rsidRPr="00415079">
          <w:rPr>
            <w:rStyle w:val="Hyperlink"/>
            <w:noProof/>
          </w:rPr>
          <w:t>Full list of recommendations</w:t>
        </w:r>
        <w:r>
          <w:rPr>
            <w:noProof/>
            <w:webHidden/>
          </w:rPr>
          <w:tab/>
        </w:r>
        <w:r>
          <w:rPr>
            <w:noProof/>
            <w:webHidden/>
          </w:rPr>
          <w:fldChar w:fldCharType="begin"/>
        </w:r>
        <w:r>
          <w:rPr>
            <w:noProof/>
            <w:webHidden/>
          </w:rPr>
          <w:instrText xml:space="preserve"> PAGEREF _Toc224203524 \h </w:instrText>
        </w:r>
        <w:r>
          <w:rPr>
            <w:noProof/>
            <w:webHidden/>
          </w:rPr>
        </w:r>
        <w:r>
          <w:rPr>
            <w:noProof/>
            <w:webHidden/>
          </w:rPr>
          <w:fldChar w:fldCharType="separate"/>
        </w:r>
        <w:r>
          <w:rPr>
            <w:noProof/>
            <w:webHidden/>
          </w:rPr>
          <w:t>19</w:t>
        </w:r>
        <w:r>
          <w:rPr>
            <w:noProof/>
            <w:webHidden/>
          </w:rPr>
          <w:fldChar w:fldCharType="end"/>
        </w:r>
      </w:hyperlink>
    </w:p>
    <w:p w14:paraId="52B0C5D7" w14:textId="4078B69F" w:rsidR="007D2706" w:rsidRDefault="007D2706">
      <w:pPr>
        <w:pStyle w:val="TOC2"/>
        <w:tabs>
          <w:tab w:val="right" w:leader="dot" w:pos="9016"/>
        </w:tabs>
        <w:rPr>
          <w:rFonts w:asciiTheme="minorHAnsi" w:eastAsiaTheme="minorEastAsia" w:hAnsiTheme="minorHAnsi"/>
          <w:noProof/>
          <w:szCs w:val="24"/>
          <w:lang w:eastAsia="en-GB"/>
        </w:rPr>
      </w:pPr>
      <w:hyperlink w:anchor="_Toc224203525" w:history="1">
        <w:r w:rsidRPr="00415079">
          <w:rPr>
            <w:rStyle w:val="Hyperlink"/>
            <w:noProof/>
          </w:rPr>
          <w:t>Purpose of the Insolvency Regime</w:t>
        </w:r>
        <w:r>
          <w:rPr>
            <w:noProof/>
            <w:webHidden/>
          </w:rPr>
          <w:tab/>
        </w:r>
        <w:r>
          <w:rPr>
            <w:noProof/>
            <w:webHidden/>
          </w:rPr>
          <w:fldChar w:fldCharType="begin"/>
        </w:r>
        <w:r>
          <w:rPr>
            <w:noProof/>
            <w:webHidden/>
          </w:rPr>
          <w:instrText xml:space="preserve"> PAGEREF _Toc224203525 \h </w:instrText>
        </w:r>
        <w:r>
          <w:rPr>
            <w:noProof/>
            <w:webHidden/>
          </w:rPr>
        </w:r>
        <w:r>
          <w:rPr>
            <w:noProof/>
            <w:webHidden/>
          </w:rPr>
          <w:fldChar w:fldCharType="separate"/>
        </w:r>
        <w:r>
          <w:rPr>
            <w:noProof/>
            <w:webHidden/>
          </w:rPr>
          <w:t>19</w:t>
        </w:r>
        <w:r>
          <w:rPr>
            <w:noProof/>
            <w:webHidden/>
          </w:rPr>
          <w:fldChar w:fldCharType="end"/>
        </w:r>
      </w:hyperlink>
    </w:p>
    <w:p w14:paraId="62A2AE08" w14:textId="71F5F158" w:rsidR="007D2706" w:rsidRDefault="007D2706">
      <w:pPr>
        <w:pStyle w:val="TOC2"/>
        <w:tabs>
          <w:tab w:val="right" w:leader="dot" w:pos="9016"/>
        </w:tabs>
        <w:rPr>
          <w:rFonts w:asciiTheme="minorHAnsi" w:eastAsiaTheme="minorEastAsia" w:hAnsiTheme="minorHAnsi"/>
          <w:noProof/>
          <w:szCs w:val="24"/>
          <w:lang w:eastAsia="en-GB"/>
        </w:rPr>
      </w:pPr>
      <w:hyperlink w:anchor="_Toc224203526" w:history="1">
        <w:r w:rsidRPr="00415079">
          <w:rPr>
            <w:rStyle w:val="Hyperlink"/>
            <w:noProof/>
          </w:rPr>
          <w:t>Incremental Improvements to the Current Solutions</w:t>
        </w:r>
        <w:r>
          <w:rPr>
            <w:noProof/>
            <w:webHidden/>
          </w:rPr>
          <w:tab/>
        </w:r>
        <w:r>
          <w:rPr>
            <w:noProof/>
            <w:webHidden/>
          </w:rPr>
          <w:fldChar w:fldCharType="begin"/>
        </w:r>
        <w:r>
          <w:rPr>
            <w:noProof/>
            <w:webHidden/>
          </w:rPr>
          <w:instrText xml:space="preserve"> PAGEREF _Toc224203526 \h </w:instrText>
        </w:r>
        <w:r>
          <w:rPr>
            <w:noProof/>
            <w:webHidden/>
          </w:rPr>
        </w:r>
        <w:r>
          <w:rPr>
            <w:noProof/>
            <w:webHidden/>
          </w:rPr>
          <w:fldChar w:fldCharType="separate"/>
        </w:r>
        <w:r>
          <w:rPr>
            <w:noProof/>
            <w:webHidden/>
          </w:rPr>
          <w:t>20</w:t>
        </w:r>
        <w:r>
          <w:rPr>
            <w:noProof/>
            <w:webHidden/>
          </w:rPr>
          <w:fldChar w:fldCharType="end"/>
        </w:r>
      </w:hyperlink>
    </w:p>
    <w:p w14:paraId="15FB5C73" w14:textId="32A713C4" w:rsidR="007D2706" w:rsidRDefault="007D2706">
      <w:pPr>
        <w:pStyle w:val="TOC2"/>
        <w:tabs>
          <w:tab w:val="right" w:leader="dot" w:pos="9016"/>
        </w:tabs>
        <w:rPr>
          <w:rFonts w:asciiTheme="minorHAnsi" w:eastAsiaTheme="minorEastAsia" w:hAnsiTheme="minorHAnsi"/>
          <w:noProof/>
          <w:szCs w:val="24"/>
          <w:lang w:eastAsia="en-GB"/>
        </w:rPr>
      </w:pPr>
      <w:hyperlink w:anchor="_Toc224203527" w:history="1">
        <w:r w:rsidRPr="00415079">
          <w:rPr>
            <w:rStyle w:val="Hyperlink"/>
            <w:noProof/>
          </w:rPr>
          <w:t>Insolvency in a Wider Context</w:t>
        </w:r>
        <w:r>
          <w:rPr>
            <w:noProof/>
            <w:webHidden/>
          </w:rPr>
          <w:tab/>
        </w:r>
        <w:r>
          <w:rPr>
            <w:noProof/>
            <w:webHidden/>
          </w:rPr>
          <w:fldChar w:fldCharType="begin"/>
        </w:r>
        <w:r>
          <w:rPr>
            <w:noProof/>
            <w:webHidden/>
          </w:rPr>
          <w:instrText xml:space="preserve"> PAGEREF _Toc224203527 \h </w:instrText>
        </w:r>
        <w:r>
          <w:rPr>
            <w:noProof/>
            <w:webHidden/>
          </w:rPr>
        </w:r>
        <w:r>
          <w:rPr>
            <w:noProof/>
            <w:webHidden/>
          </w:rPr>
          <w:fldChar w:fldCharType="separate"/>
        </w:r>
        <w:r>
          <w:rPr>
            <w:noProof/>
            <w:webHidden/>
          </w:rPr>
          <w:t>22</w:t>
        </w:r>
        <w:r>
          <w:rPr>
            <w:noProof/>
            <w:webHidden/>
          </w:rPr>
          <w:fldChar w:fldCharType="end"/>
        </w:r>
      </w:hyperlink>
    </w:p>
    <w:p w14:paraId="67165EB3" w14:textId="093B4CBC" w:rsidR="007D2706" w:rsidRDefault="007D2706">
      <w:pPr>
        <w:pStyle w:val="TOC2"/>
        <w:tabs>
          <w:tab w:val="right" w:leader="dot" w:pos="9016"/>
        </w:tabs>
        <w:rPr>
          <w:rFonts w:asciiTheme="minorHAnsi" w:eastAsiaTheme="minorEastAsia" w:hAnsiTheme="minorHAnsi"/>
          <w:noProof/>
          <w:szCs w:val="24"/>
          <w:lang w:eastAsia="en-GB"/>
        </w:rPr>
      </w:pPr>
      <w:hyperlink w:anchor="_Toc224203528" w:history="1">
        <w:r w:rsidRPr="00415079">
          <w:rPr>
            <w:rStyle w:val="Hyperlink"/>
            <w:noProof/>
          </w:rPr>
          <w:t>The ‘Market’ for Delivering Advice and Solutions in Scotland</w:t>
        </w:r>
        <w:r>
          <w:rPr>
            <w:noProof/>
            <w:webHidden/>
          </w:rPr>
          <w:tab/>
        </w:r>
        <w:r>
          <w:rPr>
            <w:noProof/>
            <w:webHidden/>
          </w:rPr>
          <w:fldChar w:fldCharType="begin"/>
        </w:r>
        <w:r>
          <w:rPr>
            <w:noProof/>
            <w:webHidden/>
          </w:rPr>
          <w:instrText xml:space="preserve"> PAGEREF _Toc224203528 \h </w:instrText>
        </w:r>
        <w:r>
          <w:rPr>
            <w:noProof/>
            <w:webHidden/>
          </w:rPr>
        </w:r>
        <w:r>
          <w:rPr>
            <w:noProof/>
            <w:webHidden/>
          </w:rPr>
          <w:fldChar w:fldCharType="separate"/>
        </w:r>
        <w:r>
          <w:rPr>
            <w:noProof/>
            <w:webHidden/>
          </w:rPr>
          <w:t>26</w:t>
        </w:r>
        <w:r>
          <w:rPr>
            <w:noProof/>
            <w:webHidden/>
          </w:rPr>
          <w:fldChar w:fldCharType="end"/>
        </w:r>
      </w:hyperlink>
    </w:p>
    <w:p w14:paraId="603BD856" w14:textId="4597234A" w:rsidR="007D2706" w:rsidRDefault="007D2706">
      <w:pPr>
        <w:pStyle w:val="TOC2"/>
        <w:tabs>
          <w:tab w:val="right" w:leader="dot" w:pos="9016"/>
        </w:tabs>
        <w:rPr>
          <w:rFonts w:asciiTheme="minorHAnsi" w:eastAsiaTheme="minorEastAsia" w:hAnsiTheme="minorHAnsi"/>
          <w:noProof/>
          <w:szCs w:val="24"/>
          <w:lang w:eastAsia="en-GB"/>
        </w:rPr>
      </w:pPr>
      <w:hyperlink w:anchor="_Toc224203529" w:history="1">
        <w:r w:rsidRPr="00415079">
          <w:rPr>
            <w:rStyle w:val="Hyperlink"/>
            <w:noProof/>
          </w:rPr>
          <w:t>The Role of AiB</w:t>
        </w:r>
        <w:r>
          <w:rPr>
            <w:noProof/>
            <w:webHidden/>
          </w:rPr>
          <w:tab/>
        </w:r>
        <w:r>
          <w:rPr>
            <w:noProof/>
            <w:webHidden/>
          </w:rPr>
          <w:fldChar w:fldCharType="begin"/>
        </w:r>
        <w:r>
          <w:rPr>
            <w:noProof/>
            <w:webHidden/>
          </w:rPr>
          <w:instrText xml:space="preserve"> PAGEREF _Toc224203529 \h </w:instrText>
        </w:r>
        <w:r>
          <w:rPr>
            <w:noProof/>
            <w:webHidden/>
          </w:rPr>
        </w:r>
        <w:r>
          <w:rPr>
            <w:noProof/>
            <w:webHidden/>
          </w:rPr>
          <w:fldChar w:fldCharType="separate"/>
        </w:r>
        <w:r>
          <w:rPr>
            <w:noProof/>
            <w:webHidden/>
          </w:rPr>
          <w:t>27</w:t>
        </w:r>
        <w:r>
          <w:rPr>
            <w:noProof/>
            <w:webHidden/>
          </w:rPr>
          <w:fldChar w:fldCharType="end"/>
        </w:r>
      </w:hyperlink>
    </w:p>
    <w:p w14:paraId="72E736E0" w14:textId="5771E511" w:rsidR="007D2706" w:rsidRDefault="007D2706">
      <w:pPr>
        <w:pStyle w:val="TOC2"/>
        <w:tabs>
          <w:tab w:val="right" w:leader="dot" w:pos="9016"/>
        </w:tabs>
        <w:rPr>
          <w:rFonts w:asciiTheme="minorHAnsi" w:eastAsiaTheme="minorEastAsia" w:hAnsiTheme="minorHAnsi"/>
          <w:noProof/>
          <w:szCs w:val="24"/>
          <w:lang w:eastAsia="en-GB"/>
        </w:rPr>
      </w:pPr>
      <w:hyperlink w:anchor="_Toc224203530" w:history="1">
        <w:r w:rsidRPr="00415079">
          <w:rPr>
            <w:rStyle w:val="Hyperlink"/>
            <w:noProof/>
          </w:rPr>
          <w:t>Access to Insolvency for Self-Employed People and Small Business Owners</w:t>
        </w:r>
        <w:r>
          <w:rPr>
            <w:noProof/>
            <w:webHidden/>
          </w:rPr>
          <w:tab/>
        </w:r>
        <w:r>
          <w:rPr>
            <w:noProof/>
            <w:webHidden/>
          </w:rPr>
          <w:fldChar w:fldCharType="begin"/>
        </w:r>
        <w:r>
          <w:rPr>
            <w:noProof/>
            <w:webHidden/>
          </w:rPr>
          <w:instrText xml:space="preserve"> PAGEREF _Toc224203530 \h </w:instrText>
        </w:r>
        <w:r>
          <w:rPr>
            <w:noProof/>
            <w:webHidden/>
          </w:rPr>
        </w:r>
        <w:r>
          <w:rPr>
            <w:noProof/>
            <w:webHidden/>
          </w:rPr>
          <w:fldChar w:fldCharType="separate"/>
        </w:r>
        <w:r>
          <w:rPr>
            <w:noProof/>
            <w:webHidden/>
          </w:rPr>
          <w:t>28</w:t>
        </w:r>
        <w:r>
          <w:rPr>
            <w:noProof/>
            <w:webHidden/>
          </w:rPr>
          <w:fldChar w:fldCharType="end"/>
        </w:r>
      </w:hyperlink>
    </w:p>
    <w:p w14:paraId="585174FD" w14:textId="36575347" w:rsidR="007E0272" w:rsidRPr="00787AEF" w:rsidRDefault="007D2706" w:rsidP="007D2706">
      <w:pPr>
        <w:pStyle w:val="Heading1"/>
        <w:rPr>
          <w:noProof/>
        </w:rPr>
      </w:pPr>
      <w:r>
        <w:rPr>
          <w:color w:val="3A3A3A" w:themeColor="background2" w:themeShade="40"/>
          <w:sz w:val="24"/>
          <w:szCs w:val="36"/>
        </w:rPr>
        <w:fldChar w:fldCharType="end"/>
      </w:r>
    </w:p>
    <w:p w14:paraId="121C34F6" w14:textId="77777777" w:rsidR="00D933CE" w:rsidRDefault="00D933CE" w:rsidP="00345B8C">
      <w:pPr>
        <w:sectPr w:rsidR="00D933CE">
          <w:footerReference w:type="default" r:id="rId12"/>
          <w:pgSz w:w="11906" w:h="16838"/>
          <w:pgMar w:top="1440" w:right="1440" w:bottom="1440" w:left="1440" w:header="708" w:footer="708" w:gutter="0"/>
          <w:cols w:space="708"/>
          <w:docGrid w:linePitch="360"/>
        </w:sectPr>
      </w:pPr>
    </w:p>
    <w:p w14:paraId="690FBB3F" w14:textId="09A07E4F" w:rsidR="004541DB" w:rsidRPr="00A256A1" w:rsidRDefault="2651D1B5" w:rsidP="007E0272">
      <w:pPr>
        <w:pStyle w:val="Heading1"/>
      </w:pPr>
      <w:bookmarkStart w:id="4" w:name="_Toc222222309"/>
      <w:bookmarkStart w:id="5" w:name="_Toc224203484"/>
      <w:bookmarkStart w:id="6" w:name="_Toc224203515"/>
      <w:r w:rsidRPr="00A256A1">
        <w:lastRenderedPageBreak/>
        <w:t>Foreword from the Review Team</w:t>
      </w:r>
      <w:bookmarkEnd w:id="4"/>
      <w:bookmarkEnd w:id="5"/>
      <w:bookmarkEnd w:id="6"/>
    </w:p>
    <w:p w14:paraId="61D72F89" w14:textId="0E6DBBD0" w:rsidR="004541DB" w:rsidRPr="00487843" w:rsidRDefault="004541DB" w:rsidP="00487843">
      <w:r w:rsidRPr="00487843">
        <w:t xml:space="preserve">We are delighted to deliver our final report on the future of </w:t>
      </w:r>
      <w:r w:rsidR="4E9E23E6" w:rsidRPr="00487843">
        <w:t xml:space="preserve">statutory debt solutions and </w:t>
      </w:r>
      <w:r w:rsidRPr="00487843">
        <w:t>the</w:t>
      </w:r>
      <w:r w:rsidR="4A8A82AC" w:rsidRPr="00487843">
        <w:t xml:space="preserve"> </w:t>
      </w:r>
      <w:r w:rsidR="00AC0310" w:rsidRPr="00487843">
        <w:t>personal insolvency</w:t>
      </w:r>
      <w:r w:rsidRPr="00487843">
        <w:t xml:space="preserve"> regime</w:t>
      </w:r>
      <w:r w:rsidR="71E73D3A" w:rsidRPr="00487843">
        <w:t xml:space="preserve"> in Scotland</w:t>
      </w:r>
      <w:r w:rsidRPr="00487843">
        <w:t>. It has been a privilege to work on a topic so close to our hearts, in a sector filled with </w:t>
      </w:r>
      <w:r w:rsidR="00AC0310" w:rsidRPr="00487843">
        <w:t xml:space="preserve">such </w:t>
      </w:r>
      <w:r w:rsidRPr="00487843">
        <w:t>talented and passionate peopl</w:t>
      </w:r>
      <w:r w:rsidR="00AC0310" w:rsidRPr="00487843">
        <w:t>e.</w:t>
      </w:r>
    </w:p>
    <w:p w14:paraId="2D6ADE29" w14:textId="1905BF2E" w:rsidR="004541DB" w:rsidRPr="00487843" w:rsidRDefault="004541DB" w:rsidP="00487843">
      <w:r w:rsidRPr="00487843">
        <w:t>Many people impacted by problem debt shared their experiences with us and not only have their insights informed and improved our work, </w:t>
      </w:r>
      <w:proofErr w:type="gramStart"/>
      <w:r w:rsidRPr="00487843">
        <w:t>they have</w:t>
      </w:r>
      <w:proofErr w:type="gramEnd"/>
      <w:r w:rsidRPr="00487843">
        <w:t xml:space="preserve"> provided a critical reminder of </w:t>
      </w:r>
      <w:r w:rsidR="00AC0310" w:rsidRPr="00487843">
        <w:t>the importance of regime effectiveness and</w:t>
      </w:r>
      <w:r w:rsidRPr="00487843">
        <w:t xml:space="preserve"> </w:t>
      </w:r>
      <w:r w:rsidR="00AC0310" w:rsidRPr="00487843">
        <w:t>practitioner expertise.</w:t>
      </w:r>
    </w:p>
    <w:p w14:paraId="24E338E1" w14:textId="40353EF1" w:rsidR="004541DB" w:rsidRPr="00487843" w:rsidRDefault="004541DB" w:rsidP="00487843">
      <w:r w:rsidRPr="00487843">
        <w:t>Our review has</w:t>
      </w:r>
      <w:r w:rsidR="007508E0" w:rsidRPr="00487843">
        <w:t xml:space="preserve"> </w:t>
      </w:r>
      <w:r w:rsidRPr="00487843">
        <w:t xml:space="preserve">identified </w:t>
      </w:r>
      <w:r w:rsidR="00AC0310" w:rsidRPr="00487843">
        <w:t>excellent</w:t>
      </w:r>
      <w:r w:rsidRPr="00487843">
        <w:t xml:space="preserve"> work </w:t>
      </w:r>
      <w:r w:rsidR="00AC0310" w:rsidRPr="00487843">
        <w:t>taking place</w:t>
      </w:r>
      <w:r w:rsidRPr="00487843">
        <w:t xml:space="preserve"> across the </w:t>
      </w:r>
      <w:r w:rsidR="003B7926" w:rsidRPr="00487843">
        <w:t>country</w:t>
      </w:r>
      <w:r w:rsidRPr="00487843">
        <w:t xml:space="preserve">, and we have been </w:t>
      </w:r>
      <w:r w:rsidR="00D84E77" w:rsidRPr="00487843">
        <w:t>pleased</w:t>
      </w:r>
      <w:r w:rsidRPr="00487843">
        <w:t xml:space="preserve"> to see that </w:t>
      </w:r>
      <w:r w:rsidR="009D36E9" w:rsidRPr="00487843">
        <w:t>generally</w:t>
      </w:r>
      <w:r w:rsidRPr="00487843">
        <w:t xml:space="preserve"> the existing </w:t>
      </w:r>
      <w:r w:rsidR="1A37CC05" w:rsidRPr="00487843">
        <w:t xml:space="preserve">statutory debt </w:t>
      </w:r>
      <w:r w:rsidRPr="00487843">
        <w:t>solutions</w:t>
      </w:r>
      <w:r w:rsidR="007508E0" w:rsidRPr="00487843">
        <w:t xml:space="preserve"> </w:t>
      </w:r>
      <w:r w:rsidRPr="00487843">
        <w:t>are</w:t>
      </w:r>
      <w:r w:rsidR="007508E0" w:rsidRPr="00487843">
        <w:t xml:space="preserve"> </w:t>
      </w:r>
      <w:r w:rsidRPr="00487843">
        <w:t>working</w:t>
      </w:r>
      <w:r w:rsidR="007508E0" w:rsidRPr="00487843">
        <w:t xml:space="preserve"> </w:t>
      </w:r>
      <w:r w:rsidRPr="00487843">
        <w:t>well</w:t>
      </w:r>
      <w:r w:rsidR="007508E0" w:rsidRPr="00487843">
        <w:t xml:space="preserve"> </w:t>
      </w:r>
      <w:r w:rsidRPr="00487843">
        <w:t xml:space="preserve">for </w:t>
      </w:r>
      <w:r w:rsidR="00AC0310" w:rsidRPr="00487843">
        <w:t>those</w:t>
      </w:r>
      <w:r w:rsidRPr="00487843">
        <w:t xml:space="preserve"> they were designed for.</w:t>
      </w:r>
      <w:r w:rsidR="00796B7B" w:rsidRPr="00487843">
        <w:t xml:space="preserve"> </w:t>
      </w:r>
      <w:r w:rsidRPr="00487843">
        <w:t>Change is</w:t>
      </w:r>
      <w:r w:rsidR="00796B7B" w:rsidRPr="00487843">
        <w:t xml:space="preserve"> </w:t>
      </w:r>
      <w:r w:rsidRPr="00487843">
        <w:t>required</w:t>
      </w:r>
      <w:r w:rsidR="00796B7B" w:rsidRPr="00487843">
        <w:t xml:space="preserve"> </w:t>
      </w:r>
      <w:r w:rsidRPr="00487843">
        <w:t>however</w:t>
      </w:r>
      <w:r w:rsidR="008D5B0C" w:rsidRPr="00487843">
        <w:t>,</w:t>
      </w:r>
      <w:r w:rsidRPr="00487843">
        <w:t xml:space="preserve"> and we intend that our</w:t>
      </w:r>
      <w:r w:rsidR="00796B7B" w:rsidRPr="00487843">
        <w:t xml:space="preserve"> </w:t>
      </w:r>
      <w:r w:rsidRPr="00487843">
        <w:t>recommendations – underpinned by principles of justice, responsibility and future-focus</w:t>
      </w:r>
      <w:r w:rsidR="006F1150" w:rsidRPr="00487843">
        <w:t xml:space="preserve"> – </w:t>
      </w:r>
      <w:r w:rsidRPr="00487843">
        <w:t>put</w:t>
      </w:r>
      <w:r w:rsidR="006F1150" w:rsidRPr="00487843">
        <w:t xml:space="preserve"> </w:t>
      </w:r>
      <w:r w:rsidRPr="00487843">
        <w:t xml:space="preserve">Scotland on track to </w:t>
      </w:r>
      <w:r w:rsidR="00AC0310" w:rsidRPr="00487843">
        <w:t>have</w:t>
      </w:r>
      <w:r w:rsidRPr="00487843">
        <w:t xml:space="preserve"> the </w:t>
      </w:r>
      <w:r w:rsidR="00AC0310" w:rsidRPr="00487843">
        <w:t>most effective and compassionate personal</w:t>
      </w:r>
      <w:r w:rsidRPr="00487843">
        <w:t xml:space="preserve"> insolvency regime in the world.</w:t>
      </w:r>
    </w:p>
    <w:p w14:paraId="5FCEECEA" w14:textId="0F67A9B7" w:rsidR="004541DB" w:rsidRPr="00487843" w:rsidRDefault="2651D1B5" w:rsidP="00487843">
      <w:r w:rsidRPr="00487843">
        <w:t>This report contains 52 recommendations, and we summarise key themes</w:t>
      </w:r>
      <w:r w:rsidR="007508E0" w:rsidRPr="00487843">
        <w:t xml:space="preserve"> </w:t>
      </w:r>
      <w:r w:rsidRPr="00487843">
        <w:t>as follows.</w:t>
      </w:r>
    </w:p>
    <w:p w14:paraId="2D885C07" w14:textId="2EAB824A" w:rsidR="004541DB" w:rsidRPr="00487843" w:rsidRDefault="004541DB" w:rsidP="00487843">
      <w:r w:rsidRPr="00487843">
        <w:t>It is vital that the regime does</w:t>
      </w:r>
      <w:r w:rsidR="006F1150" w:rsidRPr="00487843">
        <w:t xml:space="preserve"> </w:t>
      </w:r>
      <w:r w:rsidRPr="00487843">
        <w:t>n</w:t>
      </w:r>
      <w:r w:rsidR="006F1150" w:rsidRPr="00487843">
        <w:t>o</w:t>
      </w:r>
      <w:r w:rsidRPr="00487843">
        <w:t>t operate in a silo. Increasingly, problem debt is deeply interconnected with other issues people face, so we</w:t>
      </w:r>
      <w:r w:rsidR="007508E0" w:rsidRPr="00487843">
        <w:t xml:space="preserve"> </w:t>
      </w:r>
      <w:r w:rsidRPr="00487843">
        <w:t>include</w:t>
      </w:r>
      <w:r w:rsidR="007508E0" w:rsidRPr="00487843">
        <w:t xml:space="preserve"> </w:t>
      </w:r>
      <w:r w:rsidRPr="00487843">
        <w:t>a</w:t>
      </w:r>
      <w:r w:rsidR="007508E0" w:rsidRPr="00487843">
        <w:t xml:space="preserve"> </w:t>
      </w:r>
      <w:r w:rsidRPr="00487843">
        <w:t>strong</w:t>
      </w:r>
      <w:r w:rsidR="007508E0" w:rsidRPr="00487843">
        <w:t xml:space="preserve"> </w:t>
      </w:r>
      <w:r w:rsidRPr="00487843">
        <w:t>focus on better join</w:t>
      </w:r>
      <w:r w:rsidR="0070482D" w:rsidRPr="00487843">
        <w:t>ed</w:t>
      </w:r>
      <w:r w:rsidR="003B7926" w:rsidRPr="00487843">
        <w:t>-</w:t>
      </w:r>
      <w:r w:rsidRPr="00487843">
        <w:t>up services, as well as calling for a more consistent and comprehensive approach to income maximisation</w:t>
      </w:r>
      <w:r w:rsidR="007508E0" w:rsidRPr="00487843">
        <w:t xml:space="preserve"> </w:t>
      </w:r>
      <w:r w:rsidR="003B7926" w:rsidRPr="00487843">
        <w:t>as a key element of all</w:t>
      </w:r>
      <w:r w:rsidR="007508E0" w:rsidRPr="00487843">
        <w:t xml:space="preserve"> </w:t>
      </w:r>
      <w:r w:rsidRPr="00487843">
        <w:t>advice</w:t>
      </w:r>
      <w:r w:rsidR="007508E0" w:rsidRPr="00487843">
        <w:t xml:space="preserve"> </w:t>
      </w:r>
      <w:r w:rsidR="003B7926" w:rsidRPr="00487843">
        <w:t>delivery</w:t>
      </w:r>
      <w:r w:rsidRPr="00487843">
        <w:t>.</w:t>
      </w:r>
    </w:p>
    <w:p w14:paraId="0BA2154F" w14:textId="69C478B1" w:rsidR="004541DB" w:rsidRPr="00487843" w:rsidRDefault="004541DB" w:rsidP="00487843">
      <w:r w:rsidRPr="00487843">
        <w:t xml:space="preserve">Significant challenges exist in accessing advice, particularly for </w:t>
      </w:r>
      <w:r w:rsidR="003B7926" w:rsidRPr="00487843">
        <w:t>minoritised</w:t>
      </w:r>
      <w:r w:rsidRPr="00487843">
        <w:t xml:space="preserve"> groups. There is not </w:t>
      </w:r>
      <w:r w:rsidR="33CADF12" w:rsidRPr="00487843">
        <w:t>sufficient</w:t>
      </w:r>
      <w:r w:rsidRPr="00487843">
        <w:t xml:space="preserve"> capacity to meet need, and greater efforts must be made to tackle cultural barriers to advice seeking. A landscape is needed where independent and specialist advice is available and mandatory before accessing any solution. We recommend broad measure</w:t>
      </w:r>
      <w:r w:rsidR="00E23A67" w:rsidRPr="00487843">
        <w:t>s</w:t>
      </w:r>
      <w:r w:rsidRPr="00487843">
        <w:t xml:space="preserve"> to enable this. We also recommend a </w:t>
      </w:r>
      <w:r w:rsidR="003B7926" w:rsidRPr="00487843">
        <w:t>‘</w:t>
      </w:r>
      <w:r w:rsidRPr="00487843">
        <w:t>tell-us-once</w:t>
      </w:r>
      <w:r w:rsidR="003B7926" w:rsidRPr="00487843">
        <w:t>’</w:t>
      </w:r>
      <w:r w:rsidRPr="00487843">
        <w:t xml:space="preserve"> initiative is introduced across relevant agencies to improve people’s access to advice and reduce duplicated effort for everyone.</w:t>
      </w:r>
    </w:p>
    <w:p w14:paraId="0DAA959E" w14:textId="0F147C83" w:rsidR="004541DB" w:rsidRPr="00487843" w:rsidRDefault="004541DB" w:rsidP="00487843">
      <w:r w:rsidRPr="00487843">
        <w:t>Detailed research will be required to understand the need for debt advice and solutions across Scotland. This should be mapped thoroughly in partnership with</w:t>
      </w:r>
      <w:r w:rsidR="7CD8320D" w:rsidRPr="00487843">
        <w:t xml:space="preserve"> the</w:t>
      </w:r>
      <w:r w:rsidR="00E60DF6" w:rsidRPr="00487843">
        <w:t xml:space="preserve"> Money and Pensions Service</w:t>
      </w:r>
      <w:r w:rsidRPr="00487843">
        <w:t xml:space="preserve"> </w:t>
      </w:r>
      <w:r w:rsidR="00E60DF6" w:rsidRPr="00487843">
        <w:t>(</w:t>
      </w:r>
      <w:proofErr w:type="spellStart"/>
      <w:r w:rsidRPr="00487843">
        <w:t>MaPS</w:t>
      </w:r>
      <w:proofErr w:type="spellEnd"/>
      <w:r w:rsidR="00E60DF6" w:rsidRPr="00487843">
        <w:t>)</w:t>
      </w:r>
      <w:r w:rsidRPr="00487843">
        <w:t xml:space="preserve"> and local stakeholders, alongside a full </w:t>
      </w:r>
      <w:r w:rsidRPr="00487843">
        <w:lastRenderedPageBreak/>
        <w:t xml:space="preserve">assessment of actual demand, which can then allow for an assessment of resource requirements in the context of a long-term strategy to increase capacity and </w:t>
      </w:r>
      <w:r w:rsidR="003B7926" w:rsidRPr="00487843">
        <w:t xml:space="preserve">ultimately </w:t>
      </w:r>
      <w:r w:rsidRPr="00487843">
        <w:t>meet the need for advice across Scotland. We also call for a strong focus here on fully utilising existing technologies to radically scale-up access and efficiency.</w:t>
      </w:r>
    </w:p>
    <w:p w14:paraId="36444124" w14:textId="028EC3A2" w:rsidR="004541DB" w:rsidRPr="00487843" w:rsidRDefault="004541DB" w:rsidP="00487843">
      <w:r w:rsidRPr="00487843">
        <w:t>The language used to talk about debt and insolvency must change, as it currently risks compounding blockers to people accessing advice and proceeding with solutions. It should reflect changing social values, actively reduce stigma and make solutions more transparent, while continuing to reflect the seriousness of the choices under consideration.</w:t>
      </w:r>
    </w:p>
    <w:p w14:paraId="20A7A570" w14:textId="5CF26066" w:rsidR="004541DB" w:rsidRPr="00487843" w:rsidRDefault="004541DB" w:rsidP="00487843">
      <w:r w:rsidRPr="00487843">
        <w:t xml:space="preserve">The rules around insolvency are not being consistently applied by all stakeholders - we observed </w:t>
      </w:r>
      <w:bookmarkStart w:id="7" w:name="_Int_uD5TxySk"/>
      <w:proofErr w:type="gramStart"/>
      <w:r w:rsidRPr="00487843">
        <w:t>particular issues</w:t>
      </w:r>
      <w:bookmarkEnd w:id="7"/>
      <w:proofErr w:type="gramEnd"/>
      <w:r w:rsidRPr="00487843">
        <w:t xml:space="preserve"> in some UK-wide organisations.</w:t>
      </w:r>
      <w:r w:rsidR="007508E0" w:rsidRPr="00487843">
        <w:t xml:space="preserve"> </w:t>
      </w:r>
      <w:r w:rsidRPr="00487843">
        <w:t xml:space="preserve">We propose </w:t>
      </w:r>
      <w:r w:rsidR="003B7926" w:rsidRPr="00487843">
        <w:t xml:space="preserve">that </w:t>
      </w:r>
      <w:r w:rsidRPr="00487843">
        <w:t>new and</w:t>
      </w:r>
      <w:r w:rsidR="003B7926" w:rsidRPr="00487843">
        <w:t xml:space="preserve"> enhanced relationships </w:t>
      </w:r>
      <w:r w:rsidRPr="00487843">
        <w:t>are</w:t>
      </w:r>
      <w:r w:rsidR="007508E0" w:rsidRPr="00487843">
        <w:t xml:space="preserve"> </w:t>
      </w:r>
      <w:r w:rsidRPr="00487843">
        <w:t xml:space="preserve">put in place between devolved and UK-wide institutions, </w:t>
      </w:r>
      <w:proofErr w:type="gramStart"/>
      <w:r w:rsidRPr="00487843">
        <w:t>in particular between</w:t>
      </w:r>
      <w:proofErr w:type="gramEnd"/>
      <w:r w:rsidRPr="00487843">
        <w:t xml:space="preserve"> the</w:t>
      </w:r>
      <w:r w:rsidR="00B0365B" w:rsidRPr="00487843">
        <w:t xml:space="preserve"> Accountant in Bankruptcy</w:t>
      </w:r>
      <w:r w:rsidRPr="00487843">
        <w:t> </w:t>
      </w:r>
      <w:r w:rsidR="00B0365B" w:rsidRPr="00487843">
        <w:t>(</w:t>
      </w:r>
      <w:r w:rsidRPr="00487843">
        <w:t>AiB</w:t>
      </w:r>
      <w:r w:rsidR="00B0365B" w:rsidRPr="00487843">
        <w:t>)</w:t>
      </w:r>
      <w:r w:rsidRPr="00487843">
        <w:t xml:space="preserve"> and the </w:t>
      </w:r>
      <w:r w:rsidR="00B0365B" w:rsidRPr="00487843">
        <w:t>Financial Conduct Authority (</w:t>
      </w:r>
      <w:r w:rsidRPr="00487843">
        <w:t>FCA</w:t>
      </w:r>
      <w:r w:rsidR="00B0365B" w:rsidRPr="00487843">
        <w:t>)</w:t>
      </w:r>
      <w:r w:rsidRPr="00487843">
        <w:t xml:space="preserve">. This will be vital to promote consistently </w:t>
      </w:r>
      <w:bookmarkStart w:id="8" w:name="_Int_VlTr7f5K"/>
      <w:r w:rsidRPr="00487843">
        <w:t>high standards</w:t>
      </w:r>
      <w:bookmarkEnd w:id="8"/>
      <w:r w:rsidRPr="00487843">
        <w:t xml:space="preserve"> of creditor behaviour and ensure that FCA</w:t>
      </w:r>
      <w:r w:rsidR="008C3698" w:rsidRPr="00487843">
        <w:t xml:space="preserve"> </w:t>
      </w:r>
      <w:r w:rsidRPr="00487843">
        <w:t>regulated firms fully embody what is required of them under Scots law.</w:t>
      </w:r>
    </w:p>
    <w:p w14:paraId="5CA207E3" w14:textId="1384B1B3" w:rsidR="004541DB" w:rsidRPr="00487843" w:rsidRDefault="004541DB" w:rsidP="00487843">
      <w:r w:rsidRPr="00487843">
        <w:t>We have also found that the regime is not serving the needs of self-employed people in Scotland consistently well. Collectively</w:t>
      </w:r>
      <w:r w:rsidR="74C0FD22" w:rsidRPr="00487843">
        <w:t>,</w:t>
      </w:r>
      <w:r w:rsidRPr="00487843">
        <w:t xml:space="preserve"> self-employed people make up an enormously impactful and valuable part of the Scottish economy, with the sector being a key source of innovation and employment. As a result, we believe they should be a core focus of work that arises from the review. It is clear to us that </w:t>
      </w:r>
      <w:r w:rsidR="003B7926" w:rsidRPr="00487843">
        <w:t xml:space="preserve">amended or wholly </w:t>
      </w:r>
      <w:r w:rsidRPr="00487843">
        <w:t>new solutions, sources of advice and partnerships are required to meet the needs of self-employed people experiencing financial difficulties. These should be co-designed</w:t>
      </w:r>
      <w:r w:rsidR="003B7926" w:rsidRPr="00487843">
        <w:t>,</w:t>
      </w:r>
      <w:r w:rsidRPr="00487843">
        <w:t xml:space="preserve"> as a matter of urgency</w:t>
      </w:r>
      <w:r w:rsidR="003B7926" w:rsidRPr="00487843">
        <w:t>,</w:t>
      </w:r>
      <w:r w:rsidRPr="00487843">
        <w:t xml:space="preserve"> with self-employed people, their representatives and existing sector stakeholders, including Business Gateway.</w:t>
      </w:r>
    </w:p>
    <w:p w14:paraId="07BFB59C" w14:textId="4BDF8D51" w:rsidR="004541DB" w:rsidRPr="00487843" w:rsidRDefault="004541DB" w:rsidP="00487843">
      <w:r w:rsidRPr="00487843">
        <w:t>In reaching the conclusions of this work, we have taken great care to consult widely and gather as much data and evidence as is </w:t>
      </w:r>
      <w:bookmarkStart w:id="9" w:name="_Int_yj9xhhb8"/>
      <w:r w:rsidRPr="00487843">
        <w:t>reasonably possible</w:t>
      </w:r>
      <w:bookmarkEnd w:id="9"/>
      <w:r w:rsidRPr="00487843">
        <w:t>. This included two period</w:t>
      </w:r>
      <w:r w:rsidR="003534FF" w:rsidRPr="00487843">
        <w:t>s</w:t>
      </w:r>
      <w:r w:rsidRPr="00487843">
        <w:t xml:space="preserve"> of open consultation, detailed desktop research, stakeholder interviews and direct consumer research. This level of insight and evidence gives us confidence that the recommendations </w:t>
      </w:r>
      <w:r w:rsidR="00123DA9" w:rsidRPr="00487843">
        <w:t xml:space="preserve">are </w:t>
      </w:r>
      <w:r w:rsidR="00606565" w:rsidRPr="00487843">
        <w:t>highly</w:t>
      </w:r>
      <w:r w:rsidR="00123DA9" w:rsidRPr="00487843">
        <w:t xml:space="preserve"> relevant to the landscape</w:t>
      </w:r>
      <w:r w:rsidRPr="00487843">
        <w:t xml:space="preserve"> and have the potential for significant impact if implemented well.</w:t>
      </w:r>
    </w:p>
    <w:p w14:paraId="7B06E794" w14:textId="029F1D23" w:rsidR="004541DB" w:rsidRPr="00487843" w:rsidRDefault="004541DB" w:rsidP="00487843">
      <w:r w:rsidRPr="00487843">
        <w:lastRenderedPageBreak/>
        <w:t>We give heartfelt thanks to everyone who has engaged in the project and enabled us to get to this point of delivering our findings and recommendations. We also record our deep thanks to the Minister for giving us the autonomy to undertake this review in a fully independent way.</w:t>
      </w:r>
    </w:p>
    <w:p w14:paraId="3B2BA7DB" w14:textId="16BE760D" w:rsidR="00A256A1" w:rsidRPr="00487843" w:rsidRDefault="004541DB" w:rsidP="0024357D">
      <w:pPr>
        <w:spacing w:after="360"/>
      </w:pPr>
      <w:r w:rsidRPr="00487843">
        <w:t xml:space="preserve">In a review such as this, and in a sector that accommodates such a broad range of views, it is unlikely that everyone will be happy with </w:t>
      </w:r>
      <w:r w:rsidR="003B7926" w:rsidRPr="00487843">
        <w:t>all</w:t>
      </w:r>
      <w:r w:rsidRPr="00487843">
        <w:t xml:space="preserve"> our recommendations. However, even within the diversity of views, there is a shared passion amongst </w:t>
      </w:r>
      <w:r w:rsidR="0E9DF6A8" w:rsidRPr="00487843">
        <w:t xml:space="preserve">us all </w:t>
      </w:r>
      <w:r w:rsidRPr="00487843">
        <w:t>to make a difference for people in debt and help deliver a world-leading regime that Scotland can be proud of. That shared passion will be needed in making the next steps arising out of this review a success, and we call on all stakeholders to engage positively and pragmatically in taking these recommendations forward. Thank you again to all who contributed to the work - please do grasp the opportunities that will now emerge.</w:t>
      </w:r>
    </w:p>
    <w:p w14:paraId="06DB5553" w14:textId="77777777" w:rsidR="004541DB" w:rsidRPr="00487843" w:rsidRDefault="004541DB" w:rsidP="0024357D">
      <w:pPr>
        <w:spacing w:after="0"/>
      </w:pPr>
      <w:r w:rsidRPr="00487843">
        <w:t>Colin Kinloch </w:t>
      </w:r>
    </w:p>
    <w:p w14:paraId="27650574" w14:textId="77777777" w:rsidR="004541DB" w:rsidRPr="00487843" w:rsidRDefault="004541DB" w:rsidP="0024357D">
      <w:pPr>
        <w:spacing w:after="0"/>
      </w:pPr>
      <w:r w:rsidRPr="00487843">
        <w:t>Yvonne MacDermid OBE </w:t>
      </w:r>
    </w:p>
    <w:p w14:paraId="2DA16702" w14:textId="40F0441B" w:rsidR="004541DB" w:rsidRPr="00A256A1" w:rsidRDefault="004541DB" w:rsidP="00A256A1">
      <w:r w:rsidRPr="00487843">
        <w:t>Craig Simmons </w:t>
      </w:r>
    </w:p>
    <w:p w14:paraId="050143C2" w14:textId="77777777" w:rsidR="00942112" w:rsidRPr="00A256A1" w:rsidRDefault="00942112" w:rsidP="00A256A1">
      <w:r w:rsidRPr="00A256A1">
        <w:br w:type="page"/>
      </w:r>
    </w:p>
    <w:p w14:paraId="48DAA766" w14:textId="29783E78" w:rsidR="007B71C8" w:rsidRPr="006E409D" w:rsidRDefault="007B71C8" w:rsidP="00A256A1">
      <w:pPr>
        <w:pStyle w:val="Heading1"/>
      </w:pPr>
      <w:bookmarkStart w:id="10" w:name="_Toc222222310"/>
      <w:bookmarkStart w:id="11" w:name="_Toc224203485"/>
      <w:bookmarkStart w:id="12" w:name="_Toc224203516"/>
      <w:r w:rsidRPr="006E409D">
        <w:lastRenderedPageBreak/>
        <w:t>The Review</w:t>
      </w:r>
      <w:bookmarkEnd w:id="10"/>
      <w:bookmarkEnd w:id="11"/>
      <w:bookmarkEnd w:id="12"/>
    </w:p>
    <w:p w14:paraId="69EE6C1D" w14:textId="32908EF4" w:rsidR="002028EE" w:rsidRPr="00487843" w:rsidRDefault="007B71C8" w:rsidP="00487843">
      <w:r w:rsidRPr="00487843">
        <w:t>In September 2019, Scottish Ministers committed to undertake a wide-ranging policy review of Scotland’s statutory debt solutions</w:t>
      </w:r>
      <w:r w:rsidR="0063563F" w:rsidRPr="00487843">
        <w:t>,</w:t>
      </w:r>
      <w:r w:rsidRPr="00487843">
        <w:t xml:space="preserve"> with the aim of further enhancing and improving the system. This was in response to a recommendation put forward by the then Economy, Energy and Fair Work Committee following scrutiny of the Debt Arrangement Scheme (Scotland) Regulations 2019.</w:t>
      </w:r>
      <w:r w:rsidR="001F263E" w:rsidRPr="00487843">
        <w:t xml:space="preserve"> It was</w:t>
      </w:r>
      <w:r w:rsidRPr="00487843">
        <w:t xml:space="preserve"> agreed that the review should consist of three stages.</w:t>
      </w:r>
    </w:p>
    <w:p w14:paraId="5C113053" w14:textId="72B034B2" w:rsidR="00BA4742" w:rsidRDefault="21385EED" w:rsidP="000D43A6">
      <w:pPr>
        <w:pStyle w:val="Heading2"/>
        <w:rPr>
          <w:i/>
          <w:iCs/>
        </w:rPr>
      </w:pPr>
      <w:bookmarkStart w:id="13" w:name="_Toc222222311"/>
      <w:bookmarkStart w:id="14" w:name="_Toc224203486"/>
      <w:bookmarkStart w:id="15" w:name="_Toc224203517"/>
      <w:r w:rsidRPr="00B355B0">
        <w:t xml:space="preserve">The </w:t>
      </w:r>
      <w:r w:rsidRPr="0012351F">
        <w:t xml:space="preserve">three </w:t>
      </w:r>
      <w:r w:rsidRPr="00D60C25">
        <w:t>stages</w:t>
      </w:r>
      <w:bookmarkEnd w:id="13"/>
      <w:bookmarkEnd w:id="14"/>
      <w:bookmarkEnd w:id="15"/>
    </w:p>
    <w:p w14:paraId="5A79F2FD" w14:textId="6510C4B1" w:rsidR="003D0BB0" w:rsidRPr="002018D3" w:rsidRDefault="21385EED" w:rsidP="00BA4742">
      <w:r w:rsidRPr="21385EED">
        <w:t xml:space="preserve">Stage One involved an examination of immediate priorities that could be taken forward during the Parliamentary session. It specifically looked at measures that would help address the consequences of the COVID-19 pandemic. </w:t>
      </w:r>
      <w:r w:rsidR="00843E9F" w:rsidRPr="00843E9F">
        <w:t xml:space="preserve">Stage </w:t>
      </w:r>
      <w:r w:rsidR="007D7796">
        <w:t>One</w:t>
      </w:r>
      <w:r w:rsidR="00843E9F" w:rsidRPr="00843E9F">
        <w:t xml:space="preserve"> concluded with the</w:t>
      </w:r>
      <w:r w:rsidR="00843E9F" w:rsidRPr="00A256A1">
        <w:rPr>
          <w:rFonts w:cs="Arial"/>
        </w:rPr>
        <w:t xml:space="preserve"> </w:t>
      </w:r>
      <w:hyperlink r:id="rId13" w:history="1">
        <w:r w:rsidR="00843E9F" w:rsidRPr="00A256A1">
          <w:rPr>
            <w:rStyle w:val="Hyperlink"/>
            <w:rFonts w:cs="Arial"/>
          </w:rPr>
          <w:t>Bankruptcy (Miscellaneous Amendments) (Scotland) Regulations 2021</w:t>
        </w:r>
      </w:hyperlink>
      <w:r w:rsidR="00843E9F" w:rsidRPr="00843E9F">
        <w:t xml:space="preserve"> coming into force on 29 March 2021.</w:t>
      </w:r>
      <w:r w:rsidR="00843E9F" w:rsidRPr="00826FC5">
        <w:rPr>
          <w:i/>
          <w:iCs/>
        </w:rPr>
        <w:t xml:space="preserve"> </w:t>
      </w:r>
      <w:r w:rsidR="002018D3" w:rsidRPr="002018D3">
        <w:t>These regulations made permanent</w:t>
      </w:r>
      <w:r w:rsidR="002018D3">
        <w:t xml:space="preserve"> some</w:t>
      </w:r>
      <w:r w:rsidR="002018D3" w:rsidRPr="002018D3">
        <w:t xml:space="preserve"> emergency measures introduced through the Coronavirus (Scotland)</w:t>
      </w:r>
      <w:r w:rsidR="00174E40">
        <w:t xml:space="preserve"> </w:t>
      </w:r>
      <w:r w:rsidR="002018D3" w:rsidRPr="002018D3">
        <w:t>(No.2) Act 2020.</w:t>
      </w:r>
    </w:p>
    <w:p w14:paraId="4E4764D9" w14:textId="3960884A" w:rsidR="00AF4206" w:rsidRDefault="21385EED" w:rsidP="00A256A1">
      <w:r w:rsidRPr="21385EED">
        <w:t xml:space="preserve">Stage Two of the review was undertaken by three stakeholder-led working groups, with a remit to consider the operation of existing statutory debt solutions and provide recommendations for improvement. </w:t>
      </w:r>
      <w:r w:rsidR="00AF4206" w:rsidRPr="00826FC5">
        <w:t xml:space="preserve">The Scottish Government developed specific proposals from these recommendations and issued a public consultation in August 2022. The proposals taken forward that required primary legislation were introduced in </w:t>
      </w:r>
      <w:r w:rsidR="00AF4206" w:rsidRPr="00A256A1">
        <w:rPr>
          <w:rFonts w:cs="Arial"/>
        </w:rPr>
        <w:t xml:space="preserve">the </w:t>
      </w:r>
      <w:hyperlink r:id="rId14" w:history="1">
        <w:r w:rsidR="00AF4206" w:rsidRPr="00A256A1">
          <w:rPr>
            <w:rStyle w:val="Hyperlink"/>
            <w:rFonts w:cs="Arial"/>
          </w:rPr>
          <w:t>Bankruptcy and Diligence (Scotland) Act 2024</w:t>
        </w:r>
      </w:hyperlink>
      <w:r w:rsidR="00AF4206" w:rsidRPr="00826FC5">
        <w:t xml:space="preserve"> which came into force on 15 July 2024. </w:t>
      </w:r>
      <w:r w:rsidR="00AF4206" w:rsidRPr="00D33FA8">
        <w:t>The Act is being commenced in stages to factor in other associated work required</w:t>
      </w:r>
      <w:r w:rsidR="00AF4206" w:rsidRPr="0064494A">
        <w:t>, for example amendments to court rules and further stakeholder engagement</w:t>
      </w:r>
      <w:r w:rsidR="00AF4206" w:rsidRPr="00D33FA8">
        <w:t>. </w:t>
      </w:r>
    </w:p>
    <w:p w14:paraId="23F4A530" w14:textId="6CEAB1D9" w:rsidR="00AF4206" w:rsidRPr="00826FC5" w:rsidRDefault="00AF4206" w:rsidP="00A256A1">
      <w:r w:rsidRPr="00826FC5">
        <w:t>The remaining proposals have been / will be taken forward through a mix of secondary legislation and operation</w:t>
      </w:r>
      <w:r w:rsidR="00A86D8F">
        <w:t>al</w:t>
      </w:r>
      <w:r w:rsidRPr="00826FC5">
        <w:t xml:space="preserve"> guidance. </w:t>
      </w:r>
      <w:r>
        <w:t>The s</w:t>
      </w:r>
      <w:r w:rsidRPr="00826FC5">
        <w:t>econdary legislation introduced to date are as follows:</w:t>
      </w:r>
    </w:p>
    <w:p w14:paraId="7B71D96E" w14:textId="77777777" w:rsidR="00AF4206" w:rsidRPr="00A256A1" w:rsidRDefault="00AF4206" w:rsidP="00A256A1">
      <w:pPr>
        <w:pStyle w:val="ListParagraph"/>
        <w:numPr>
          <w:ilvl w:val="0"/>
          <w:numId w:val="11"/>
        </w:numPr>
      </w:pPr>
      <w:hyperlink r:id="rId15" w:history="1">
        <w:r w:rsidRPr="00A256A1">
          <w:rPr>
            <w:rStyle w:val="Hyperlink"/>
          </w:rPr>
          <w:t>The Bankruptcy and Debt Arrangement Scheme (Miscellaneous Amendment) (Scotland) Regulations 2023</w:t>
        </w:r>
      </w:hyperlink>
    </w:p>
    <w:p w14:paraId="59AF5D9A" w14:textId="708F75B6" w:rsidR="00AF4206" w:rsidRPr="00A256A1" w:rsidRDefault="00EF7A50" w:rsidP="00A256A1">
      <w:pPr>
        <w:pStyle w:val="ListParagraph"/>
        <w:numPr>
          <w:ilvl w:val="0"/>
          <w:numId w:val="11"/>
        </w:numPr>
      </w:pPr>
      <w:hyperlink r:id="rId16" w:history="1">
        <w:r>
          <w:rPr>
            <w:rStyle w:val="Hyperlink"/>
          </w:rPr>
          <w:t>The Protected Trust Deeds (Miscellaneous Amendment) (Scotland) Regulations 2024</w:t>
        </w:r>
      </w:hyperlink>
    </w:p>
    <w:p w14:paraId="32A8EDC1" w14:textId="783A464A" w:rsidR="003D0BB0" w:rsidRPr="00B355B0" w:rsidRDefault="00AF4206" w:rsidP="00B355B0">
      <w:pPr>
        <w:pStyle w:val="ListParagraph"/>
        <w:numPr>
          <w:ilvl w:val="0"/>
          <w:numId w:val="11"/>
        </w:numPr>
      </w:pPr>
      <w:hyperlink r:id="rId17" w:history="1">
        <w:r w:rsidRPr="00A256A1">
          <w:rPr>
            <w:rStyle w:val="Hyperlink"/>
          </w:rPr>
          <w:t>The Bankruptcy (Scotland) Amendment Regulations 2024</w:t>
        </w:r>
      </w:hyperlink>
    </w:p>
    <w:p w14:paraId="1C529B87" w14:textId="5D829C23" w:rsidR="00FF5BF1" w:rsidRDefault="00942112" w:rsidP="00A256A1">
      <w:r w:rsidRPr="21385EED">
        <w:t xml:space="preserve">This third stage has been a longer-term strategic review of statutory debt solutions to assess if they meet the needs of a modern economy. It has been run independently from AiB and the broader Scottish Government. </w:t>
      </w:r>
      <w:r w:rsidR="1C315D54" w:rsidRPr="1C315D54">
        <w:t xml:space="preserve">Stage Three formally launched in March 2024 with a stakeholder </w:t>
      </w:r>
      <w:r w:rsidR="00697834">
        <w:t>r</w:t>
      </w:r>
      <w:r w:rsidR="1C315D54" w:rsidRPr="1C315D54">
        <w:t xml:space="preserve">oundtable to understand what was working well currently, and what was not. It was followed by a public call for evidence to provide insight and data to inform the initial Stage Three work. The call for evidence ran from 27 April </w:t>
      </w:r>
      <w:r w:rsidR="1C315D54" w:rsidRPr="1C315D54" w:rsidDel="00594BA7">
        <w:t>-</w:t>
      </w:r>
      <w:r w:rsidR="1C315D54" w:rsidRPr="1C315D54">
        <w:t xml:space="preserve"> 21 June 2024. The responses were analysed in the second half of 2024, and several supplementary roundtables and one-to-one interviews were held with stakeholders to further develop findings and inform the review’s direction of travel. </w:t>
      </w:r>
    </w:p>
    <w:p w14:paraId="42C0DDBA" w14:textId="047CE614" w:rsidR="00CC23B4" w:rsidRPr="00D60C25" w:rsidRDefault="00CC23B4" w:rsidP="00D60C25">
      <w:pPr>
        <w:pStyle w:val="Heading2"/>
      </w:pPr>
      <w:bookmarkStart w:id="16" w:name="_Toc222222312"/>
      <w:bookmarkStart w:id="17" w:name="_Toc224203487"/>
      <w:bookmarkStart w:id="18" w:name="_Toc224203518"/>
      <w:r w:rsidRPr="00D60C25">
        <w:t>Consultation and research</w:t>
      </w:r>
      <w:bookmarkEnd w:id="16"/>
      <w:bookmarkEnd w:id="17"/>
      <w:bookmarkEnd w:id="18"/>
    </w:p>
    <w:p w14:paraId="7F57021A" w14:textId="50419491" w:rsidR="00FF5BF1" w:rsidRPr="006E409D" w:rsidRDefault="21385EED" w:rsidP="00A256A1">
      <w:r w:rsidRPr="21385EED">
        <w:t>A public consultation, setting out key findings to date and various proposals to reshape the regime, was published on 12 March 2025 and closed on 4 June 2025. A summary of responses to the questions posed in the consultation and the subsequent analysis by the review team</w:t>
      </w:r>
      <w:r w:rsidR="004F256C">
        <w:t xml:space="preserve"> </w:t>
      </w:r>
      <w:r w:rsidR="00937CFA">
        <w:t>is available</w:t>
      </w:r>
      <w:r w:rsidR="00145764">
        <w:t xml:space="preserve"> in the </w:t>
      </w:r>
      <w:hyperlink r:id="rId18" w:history="1">
        <w:r w:rsidR="00145764" w:rsidRPr="002E4742">
          <w:rPr>
            <w:rStyle w:val="Hyperlink"/>
          </w:rPr>
          <w:t>Feedback and Recommendations docu</w:t>
        </w:r>
        <w:r w:rsidR="00145764" w:rsidRPr="002E4742">
          <w:rPr>
            <w:rStyle w:val="Hyperlink"/>
          </w:rPr>
          <w:t>m</w:t>
        </w:r>
        <w:r w:rsidR="00145764" w:rsidRPr="002E4742">
          <w:rPr>
            <w:rStyle w:val="Hyperlink"/>
          </w:rPr>
          <w:t>ent</w:t>
        </w:r>
      </w:hyperlink>
      <w:r w:rsidR="00145764">
        <w:t xml:space="preserve"> which</w:t>
      </w:r>
      <w:r w:rsidRPr="21385EED">
        <w:t xml:space="preserve"> </w:t>
      </w:r>
      <w:r w:rsidR="002864CE">
        <w:t xml:space="preserve">has been published alongside </w:t>
      </w:r>
      <w:r w:rsidRPr="21385EED">
        <w:t xml:space="preserve">this </w:t>
      </w:r>
      <w:r w:rsidR="00942112">
        <w:t>report</w:t>
      </w:r>
      <w:r w:rsidRPr="21385EED">
        <w:t xml:space="preserve">. Both the call for evidence and the consultation received a strong response rate and the insight and evidence from stakeholders has been key in shaping the recommendations arising from the review. It is important to note however that Scottish local authorities were </w:t>
      </w:r>
      <w:bookmarkStart w:id="19" w:name="_Int_mEDRNNez"/>
      <w:r w:rsidRPr="21385EED">
        <w:t>generally underrepresented</w:t>
      </w:r>
      <w:bookmarkEnd w:id="19"/>
      <w:r w:rsidRPr="21385EED">
        <w:t xml:space="preserve"> in the pool of </w:t>
      </w:r>
      <w:r w:rsidR="00063507" w:rsidRPr="21385EED">
        <w:t>respondents,</w:t>
      </w:r>
      <w:r w:rsidRPr="21385EED">
        <w:t xml:space="preserve"> and the review team has been mindful of this in reporting its findings. </w:t>
      </w:r>
    </w:p>
    <w:p w14:paraId="41EE776D" w14:textId="2386DB0A" w:rsidR="00536312" w:rsidRDefault="51EB1A40" w:rsidP="00A256A1">
      <w:r w:rsidRPr="51EB1A40">
        <w:t xml:space="preserve">Away from the stakeholder responses, the review has also been directly informed by people in debt. Two nationally representative surveys have been undertaken by ScotPulse on behalf of the review team, one with people with personal debts only and one with self-employed small business owners. The </w:t>
      </w:r>
      <w:hyperlink r:id="rId19" w:history="1">
        <w:r w:rsidRPr="002E4742">
          <w:rPr>
            <w:rStyle w:val="Hyperlink"/>
          </w:rPr>
          <w:t>outputs of th</w:t>
        </w:r>
        <w:r w:rsidR="00937CFA" w:rsidRPr="002E4742">
          <w:rPr>
            <w:rStyle w:val="Hyperlink"/>
          </w:rPr>
          <w:t xml:space="preserve">e </w:t>
        </w:r>
        <w:proofErr w:type="spellStart"/>
        <w:r w:rsidR="002D05D0" w:rsidRPr="002E4742">
          <w:rPr>
            <w:rStyle w:val="Hyperlink"/>
          </w:rPr>
          <w:t>ScotPulse</w:t>
        </w:r>
        <w:proofErr w:type="spellEnd"/>
        <w:r w:rsidRPr="002E4742">
          <w:rPr>
            <w:rStyle w:val="Hyperlink"/>
          </w:rPr>
          <w:t xml:space="preserve"> consumer research</w:t>
        </w:r>
      </w:hyperlink>
      <w:r w:rsidRPr="51EB1A40">
        <w:t xml:space="preserve"> are published alongside this report. The review team also facilitated focus groups with consumers to further explore the findings of the surveys and test our recommendations. </w:t>
      </w:r>
    </w:p>
    <w:p w14:paraId="581626E9" w14:textId="77777777" w:rsidR="00F71478" w:rsidRPr="006E409D" w:rsidRDefault="00F71478" w:rsidP="00A256A1"/>
    <w:p w14:paraId="00F80FFF" w14:textId="1CEA7B79" w:rsidR="00996669" w:rsidRDefault="1C315D54" w:rsidP="00A256A1">
      <w:r w:rsidRPr="1C315D54">
        <w:t xml:space="preserve">AiB data about the current solutions has been fundamental in informing the work, as has existing data and research published elsewhere. Furthermore, the review team has been in regular contact with the Insolvency Service in England and Wales throughout the review, given the similar remit of the ongoing Personal Insolvency Review. More broadly, we have also engaged </w:t>
      </w:r>
      <w:proofErr w:type="spellStart"/>
      <w:r w:rsidRPr="1C315D54">
        <w:t>M</w:t>
      </w:r>
      <w:r w:rsidR="00FB30ED">
        <w:t>aPS</w:t>
      </w:r>
      <w:proofErr w:type="spellEnd"/>
      <w:r w:rsidRPr="1C315D54">
        <w:t>, which has a remit for debt advice in England and a UK-wide responsibility for money guidance and developing and coordinating a national strategy linked to debt and money issues.</w:t>
      </w:r>
    </w:p>
    <w:p w14:paraId="0126FB24" w14:textId="1B88B779" w:rsidR="00B3204D" w:rsidRDefault="00B3204D">
      <w:pPr>
        <w:spacing w:line="259" w:lineRule="auto"/>
      </w:pPr>
      <w:r>
        <w:br w:type="page"/>
      </w:r>
    </w:p>
    <w:p w14:paraId="6672541E" w14:textId="045D6C6C" w:rsidR="003914D8" w:rsidRPr="006E409D" w:rsidRDefault="003914D8" w:rsidP="00A256A1">
      <w:pPr>
        <w:pStyle w:val="Heading1"/>
      </w:pPr>
      <w:bookmarkStart w:id="20" w:name="_Toc222222313"/>
      <w:bookmarkStart w:id="21" w:name="_Toc224203488"/>
      <w:bookmarkStart w:id="22" w:name="_Toc224203519"/>
      <w:r w:rsidRPr="006E409D">
        <w:lastRenderedPageBreak/>
        <w:t>Core recommendations</w:t>
      </w:r>
      <w:bookmarkEnd w:id="20"/>
      <w:bookmarkEnd w:id="21"/>
      <w:bookmarkEnd w:id="22"/>
    </w:p>
    <w:p w14:paraId="74F19567" w14:textId="28354EE9" w:rsidR="004933BB" w:rsidRPr="006E409D" w:rsidRDefault="2651D1B5" w:rsidP="00A256A1">
      <w:r w:rsidRPr="2651D1B5">
        <w:t xml:space="preserve">There are 52 recommendations in total arising from the Stage Three Review. These are set out in the </w:t>
      </w:r>
      <w:bookmarkStart w:id="23" w:name="_Int_9nYvHmhh"/>
      <w:r w:rsidRPr="2651D1B5">
        <w:t>final section</w:t>
      </w:r>
      <w:bookmarkEnd w:id="23"/>
      <w:r w:rsidRPr="2651D1B5">
        <w:t xml:space="preserve"> of this paper, with the rationale for each of them detailed in the </w:t>
      </w:r>
      <w:hyperlink r:id="rId20" w:history="1">
        <w:r w:rsidR="00491E93" w:rsidRPr="002E4742">
          <w:rPr>
            <w:rStyle w:val="Hyperlink"/>
          </w:rPr>
          <w:t>Feedback and Recommendations document</w:t>
        </w:r>
      </w:hyperlink>
      <w:r w:rsidRPr="2651D1B5">
        <w:t xml:space="preserve">. What follows in this section are the </w:t>
      </w:r>
      <w:r w:rsidR="003867CF">
        <w:t>r</w:t>
      </w:r>
      <w:r w:rsidRPr="2651D1B5">
        <w:t xml:space="preserve">eview’s core recommendations. They are identified as core recommendations as we recognise there may be a need to prioritise where resource is focussed following the review. We propose taking forward these four areas urgently as we believe they can have the biggest impact for the people of Scotland. </w:t>
      </w:r>
    </w:p>
    <w:p w14:paraId="3A46B797" w14:textId="5C71A4F6" w:rsidR="00325BE9" w:rsidRDefault="1C315D54" w:rsidP="00A256A1">
      <w:r w:rsidRPr="1C315D54">
        <w:t xml:space="preserve">We believe that several of our other broader recommendations can be delivered with </w:t>
      </w:r>
      <w:bookmarkStart w:id="24" w:name="_Int_2MnMZfJj"/>
      <w:r w:rsidRPr="1C315D54">
        <w:t>relatively low</w:t>
      </w:r>
      <w:bookmarkEnd w:id="24"/>
      <w:r w:rsidRPr="1C315D54">
        <w:t xml:space="preserve"> resource, either being within the gift of AiB or its partners and we call for these to be delivered swiftly where possible.</w:t>
      </w:r>
    </w:p>
    <w:p w14:paraId="21DC3481" w14:textId="54E38DA8" w:rsidR="005610F7" w:rsidRDefault="005610F7">
      <w:pPr>
        <w:spacing w:line="259" w:lineRule="auto"/>
      </w:pPr>
      <w:r>
        <w:br w:type="page"/>
      </w:r>
    </w:p>
    <w:p w14:paraId="08E8005B" w14:textId="05B9B0CD" w:rsidR="00850498" w:rsidRPr="00003C92" w:rsidRDefault="00325BE9" w:rsidP="00354E2B">
      <w:pPr>
        <w:pStyle w:val="Heading2"/>
        <w:spacing w:before="0"/>
      </w:pPr>
      <w:bookmarkStart w:id="25" w:name="_Toc222222314"/>
      <w:bookmarkStart w:id="26" w:name="_Toc224203489"/>
      <w:bookmarkStart w:id="27" w:name="_Toc224203520"/>
      <w:r w:rsidRPr="00003C92">
        <w:lastRenderedPageBreak/>
        <w:t>Core Area One: Setting the Right Tone for the Regime</w:t>
      </w:r>
      <w:bookmarkEnd w:id="25"/>
      <w:bookmarkEnd w:id="26"/>
      <w:bookmarkEnd w:id="27"/>
    </w:p>
    <w:p w14:paraId="285B54F3" w14:textId="43D97846" w:rsidR="00352AC3" w:rsidRPr="00850498" w:rsidRDefault="00325BE9" w:rsidP="00E20BA4">
      <w:pPr>
        <w:rPr>
          <w:b/>
          <w:bCs/>
        </w:rPr>
      </w:pPr>
      <w:r w:rsidRPr="00003C92">
        <w:t>To ensure a progressive, predictable and fair insolvency regime in Scotland, which</w:t>
      </w:r>
      <w:r w:rsidRPr="1C315D54">
        <w:t xml:space="preserve"> is sharply focussed on achieving its objectives.</w:t>
      </w:r>
    </w:p>
    <w:p w14:paraId="34DACF3D" w14:textId="3C0ADC7B" w:rsidR="004B47EF" w:rsidRPr="00003C92" w:rsidRDefault="003631F4" w:rsidP="00E20BA4">
      <w:pPr>
        <w:pBdr>
          <w:top w:val="single" w:sz="4" w:space="1" w:color="auto"/>
          <w:left w:val="single" w:sz="4" w:space="4" w:color="auto"/>
          <w:bottom w:val="single" w:sz="4" w:space="1" w:color="auto"/>
          <w:right w:val="single" w:sz="4" w:space="4" w:color="auto"/>
        </w:pBdr>
        <w:shd w:val="clear" w:color="auto" w:fill="D9F2D0" w:themeFill="accent6" w:themeFillTint="33"/>
        <w:spacing w:before="160"/>
        <w:rPr>
          <w:rFonts w:ascii="Century Gothic" w:hAnsi="Century Gothic"/>
          <w:b/>
          <w:bCs/>
          <w:sz w:val="28"/>
          <w:szCs w:val="24"/>
        </w:rPr>
      </w:pPr>
      <w:r>
        <w:rPr>
          <w:rFonts w:ascii="Century Gothic" w:hAnsi="Century Gothic"/>
          <w:b/>
          <w:bCs/>
          <w:sz w:val="28"/>
          <w:szCs w:val="24"/>
        </w:rPr>
        <w:t xml:space="preserve">Core </w:t>
      </w:r>
      <w:r w:rsidR="009353F5">
        <w:rPr>
          <w:rFonts w:ascii="Century Gothic" w:hAnsi="Century Gothic"/>
          <w:b/>
          <w:bCs/>
          <w:sz w:val="28"/>
          <w:szCs w:val="24"/>
        </w:rPr>
        <w:t>r</w:t>
      </w:r>
      <w:r w:rsidR="004B47EF" w:rsidRPr="00003C92">
        <w:rPr>
          <w:rFonts w:ascii="Century Gothic" w:hAnsi="Century Gothic"/>
          <w:b/>
          <w:bCs/>
          <w:sz w:val="28"/>
          <w:szCs w:val="24"/>
        </w:rPr>
        <w:t>ecommendation</w:t>
      </w:r>
      <w:r w:rsidR="00714D85">
        <w:rPr>
          <w:rFonts w:ascii="Century Gothic" w:hAnsi="Century Gothic"/>
          <w:b/>
          <w:bCs/>
          <w:sz w:val="28"/>
          <w:szCs w:val="24"/>
        </w:rPr>
        <w:t xml:space="preserve"> </w:t>
      </w:r>
      <w:r w:rsidR="00BD660B">
        <w:rPr>
          <w:rFonts w:ascii="Century Gothic" w:hAnsi="Century Gothic"/>
          <w:b/>
          <w:bCs/>
          <w:sz w:val="28"/>
          <w:szCs w:val="24"/>
        </w:rPr>
        <w:t>1</w:t>
      </w:r>
      <w:r w:rsidR="00E66254">
        <w:rPr>
          <w:rFonts w:ascii="Century Gothic" w:hAnsi="Century Gothic"/>
          <w:b/>
          <w:bCs/>
          <w:sz w:val="28"/>
          <w:szCs w:val="24"/>
        </w:rPr>
        <w:t>.1</w:t>
      </w:r>
    </w:p>
    <w:p w14:paraId="05A7CC1D" w14:textId="42443A76" w:rsidR="004B47EF" w:rsidRPr="002E66B9" w:rsidRDefault="004B47EF" w:rsidP="005610CF">
      <w:pPr>
        <w:pBdr>
          <w:top w:val="single" w:sz="4" w:space="1" w:color="auto"/>
          <w:left w:val="single" w:sz="4" w:space="4" w:color="auto"/>
          <w:bottom w:val="single" w:sz="4" w:space="1" w:color="auto"/>
          <w:right w:val="single" w:sz="4" w:space="4" w:color="auto"/>
        </w:pBdr>
        <w:shd w:val="clear" w:color="auto" w:fill="D9F2D0" w:themeFill="accent6" w:themeFillTint="33"/>
      </w:pPr>
      <w:r w:rsidRPr="002E66B9">
        <w:t xml:space="preserve">The overarching aim of the insolvency regime should be: </w:t>
      </w:r>
    </w:p>
    <w:p w14:paraId="114E23AB" w14:textId="77777777" w:rsidR="004B47EF" w:rsidRDefault="004B47EF" w:rsidP="005610CF">
      <w:pPr>
        <w:pBdr>
          <w:top w:val="single" w:sz="4" w:space="1" w:color="auto"/>
          <w:left w:val="single" w:sz="4" w:space="4" w:color="auto"/>
          <w:bottom w:val="single" w:sz="4" w:space="1" w:color="auto"/>
          <w:right w:val="single" w:sz="4" w:space="4" w:color="auto"/>
        </w:pBdr>
        <w:shd w:val="clear" w:color="auto" w:fill="D9F2D0" w:themeFill="accent6" w:themeFillTint="33"/>
      </w:pPr>
      <w:r w:rsidRPr="00F66F38">
        <w:t>To deliver an equitable insolvency system that balances the needs of those struggling with unsustainable debts with the interests of their creditors and other borrowers.</w:t>
      </w:r>
    </w:p>
    <w:p w14:paraId="3680719D" w14:textId="0588867B" w:rsidR="00BD660B" w:rsidRPr="0024357D" w:rsidRDefault="00BD660B" w:rsidP="005610CF">
      <w:pPr>
        <w:pBdr>
          <w:top w:val="single" w:sz="4" w:space="1" w:color="auto"/>
          <w:left w:val="single" w:sz="4" w:space="4" w:color="auto"/>
          <w:bottom w:val="single" w:sz="4" w:space="1" w:color="auto"/>
          <w:right w:val="single" w:sz="4" w:space="4" w:color="auto"/>
        </w:pBdr>
        <w:shd w:val="clear" w:color="auto" w:fill="D9F2D0" w:themeFill="accent6" w:themeFillTint="33"/>
        <w:rPr>
          <w:rFonts w:ascii="Century Gothic" w:hAnsi="Century Gothic"/>
          <w:b/>
          <w:bCs/>
          <w:sz w:val="28"/>
          <w:szCs w:val="24"/>
        </w:rPr>
      </w:pPr>
      <w:r w:rsidRPr="0024357D">
        <w:rPr>
          <w:rFonts w:ascii="Century Gothic" w:hAnsi="Century Gothic"/>
          <w:b/>
          <w:bCs/>
          <w:sz w:val="28"/>
          <w:szCs w:val="24"/>
        </w:rPr>
        <w:t xml:space="preserve">Core recommendation </w:t>
      </w:r>
      <w:r w:rsidR="00E66254">
        <w:rPr>
          <w:rFonts w:ascii="Century Gothic" w:hAnsi="Century Gothic"/>
          <w:b/>
          <w:bCs/>
          <w:sz w:val="28"/>
          <w:szCs w:val="24"/>
        </w:rPr>
        <w:t>1.</w:t>
      </w:r>
      <w:r w:rsidRPr="0024357D">
        <w:rPr>
          <w:rFonts w:ascii="Century Gothic" w:hAnsi="Century Gothic"/>
          <w:b/>
          <w:bCs/>
          <w:sz w:val="28"/>
          <w:szCs w:val="24"/>
        </w:rPr>
        <w:t>2</w:t>
      </w:r>
    </w:p>
    <w:p w14:paraId="7DBB1442" w14:textId="4E8391F0" w:rsidR="004B47EF" w:rsidRPr="002E66B9" w:rsidRDefault="004B47EF" w:rsidP="005610CF">
      <w:pPr>
        <w:pBdr>
          <w:top w:val="single" w:sz="4" w:space="1" w:color="auto"/>
          <w:left w:val="single" w:sz="4" w:space="4" w:color="auto"/>
          <w:bottom w:val="single" w:sz="4" w:space="1" w:color="auto"/>
          <w:right w:val="single" w:sz="4" w:space="4" w:color="auto"/>
        </w:pBdr>
        <w:shd w:val="clear" w:color="auto" w:fill="D9F2D0" w:themeFill="accent6" w:themeFillTint="33"/>
      </w:pPr>
      <w:r w:rsidRPr="002E66B9">
        <w:t>The three overarching principles for the regime should be:</w:t>
      </w:r>
    </w:p>
    <w:p w14:paraId="1B252FFA" w14:textId="343D40C8" w:rsidR="004B47EF" w:rsidRPr="002E66B9" w:rsidRDefault="004B47EF" w:rsidP="005610CF">
      <w:pPr>
        <w:pBdr>
          <w:top w:val="single" w:sz="4" w:space="1" w:color="auto"/>
          <w:left w:val="single" w:sz="4" w:space="4" w:color="auto"/>
          <w:bottom w:val="single" w:sz="4" w:space="1" w:color="auto"/>
          <w:right w:val="single" w:sz="4" w:space="4" w:color="auto"/>
        </w:pBdr>
        <w:shd w:val="clear" w:color="auto" w:fill="D9F2D0" w:themeFill="accent6" w:themeFillTint="33"/>
      </w:pPr>
      <w:r w:rsidRPr="00DB1AB7">
        <w:rPr>
          <w:b/>
          <w:bCs/>
        </w:rPr>
        <w:t>Justice</w:t>
      </w:r>
      <w:r w:rsidR="00BD660B">
        <w:t xml:space="preserve"> - </w:t>
      </w:r>
      <w:r w:rsidRPr="002E66B9">
        <w:t>Ensure that fair and effective debt advice, debt relief and debt management is accessible to the people of Scotland.</w:t>
      </w:r>
    </w:p>
    <w:p w14:paraId="443E7519" w14:textId="1FED61DA" w:rsidR="004B47EF" w:rsidRPr="002E66B9" w:rsidRDefault="004B47EF" w:rsidP="005610CF">
      <w:pPr>
        <w:pBdr>
          <w:top w:val="single" w:sz="4" w:space="1" w:color="auto"/>
          <w:left w:val="single" w:sz="4" w:space="4" w:color="auto"/>
          <w:bottom w:val="single" w:sz="4" w:space="1" w:color="auto"/>
          <w:right w:val="single" w:sz="4" w:space="4" w:color="auto"/>
        </w:pBdr>
        <w:shd w:val="clear" w:color="auto" w:fill="D9F2D0" w:themeFill="accent6" w:themeFillTint="33"/>
      </w:pPr>
      <w:r w:rsidRPr="00DB1AB7">
        <w:rPr>
          <w:b/>
          <w:bCs/>
        </w:rPr>
        <w:t>Responsibili</w:t>
      </w:r>
      <w:r w:rsidRPr="00E66254">
        <w:rPr>
          <w:b/>
          <w:bCs/>
        </w:rPr>
        <w:t>t</w:t>
      </w:r>
      <w:r w:rsidR="00BD660B" w:rsidRPr="00E66254">
        <w:rPr>
          <w:b/>
          <w:bCs/>
        </w:rPr>
        <w:t>y</w:t>
      </w:r>
      <w:r w:rsidR="00BD660B">
        <w:t xml:space="preserve"> - </w:t>
      </w:r>
      <w:r w:rsidRPr="002E66B9">
        <w:t xml:space="preserve">Balance the interests of people in debt and their creditors and businesses by facilitating repayment of debts by those who are able and in doing so help ensure that all those who need to borrow can do so as economically as possible. </w:t>
      </w:r>
    </w:p>
    <w:p w14:paraId="6925F3D0" w14:textId="6ACFC1E8" w:rsidR="004B47EF" w:rsidRDefault="004B47EF" w:rsidP="005610CF">
      <w:pPr>
        <w:pBdr>
          <w:top w:val="single" w:sz="4" w:space="1" w:color="auto"/>
          <w:left w:val="single" w:sz="4" w:space="4" w:color="auto"/>
          <w:bottom w:val="single" w:sz="4" w:space="1" w:color="auto"/>
          <w:right w:val="single" w:sz="4" w:space="4" w:color="auto"/>
        </w:pBdr>
        <w:shd w:val="clear" w:color="auto" w:fill="D9F2D0" w:themeFill="accent6" w:themeFillTint="33"/>
      </w:pPr>
      <w:r w:rsidRPr="00DB1AB7">
        <w:rPr>
          <w:b/>
          <w:bCs/>
        </w:rPr>
        <w:t>Future focus</w:t>
      </w:r>
      <w:r w:rsidR="00BD660B">
        <w:t xml:space="preserve"> - </w:t>
      </w:r>
      <w:r w:rsidRPr="002E66B9">
        <w:t>Provide a safe route out of current debt problems that supports people to build a stable financial situation for the future.</w:t>
      </w:r>
    </w:p>
    <w:p w14:paraId="28E589D5" w14:textId="73CFDE0A" w:rsidR="004B47EF" w:rsidRPr="00003C92" w:rsidRDefault="004B47EF" w:rsidP="00003C92">
      <w:pPr>
        <w:pBdr>
          <w:top w:val="single" w:sz="4" w:space="1" w:color="auto"/>
          <w:left w:val="single" w:sz="4" w:space="4" w:color="auto"/>
          <w:bottom w:val="single" w:sz="4" w:space="1" w:color="auto"/>
          <w:right w:val="single" w:sz="4" w:space="4" w:color="auto"/>
        </w:pBdr>
        <w:shd w:val="clear" w:color="auto" w:fill="B3E5A1" w:themeFill="accent6" w:themeFillTint="66"/>
        <w:spacing w:before="240"/>
        <w:rPr>
          <w:rFonts w:ascii="Century Gothic" w:hAnsi="Century Gothic"/>
          <w:b/>
          <w:bCs/>
          <w:sz w:val="28"/>
          <w:szCs w:val="24"/>
        </w:rPr>
      </w:pPr>
      <w:r w:rsidRPr="00003C92">
        <w:rPr>
          <w:rFonts w:ascii="Century Gothic" w:hAnsi="Century Gothic"/>
          <w:b/>
          <w:bCs/>
          <w:sz w:val="28"/>
          <w:szCs w:val="24"/>
        </w:rPr>
        <w:t>Rationale</w:t>
      </w:r>
      <w:r w:rsidR="00F13E63">
        <w:rPr>
          <w:rFonts w:ascii="Century Gothic" w:hAnsi="Century Gothic"/>
          <w:b/>
          <w:bCs/>
          <w:sz w:val="28"/>
          <w:szCs w:val="24"/>
        </w:rPr>
        <w:t xml:space="preserve"> </w:t>
      </w:r>
    </w:p>
    <w:p w14:paraId="22596FE9" w14:textId="3F4EE395" w:rsidR="004B47EF" w:rsidRPr="002E66B9" w:rsidRDefault="004B47EF" w:rsidP="005610CF">
      <w:pPr>
        <w:pBdr>
          <w:top w:val="single" w:sz="4" w:space="1" w:color="auto"/>
          <w:left w:val="single" w:sz="4" w:space="4" w:color="auto"/>
          <w:bottom w:val="single" w:sz="4" w:space="1" w:color="auto"/>
          <w:right w:val="single" w:sz="4" w:space="4" w:color="auto"/>
        </w:pBdr>
        <w:shd w:val="clear" w:color="auto" w:fill="B3E5A1" w:themeFill="accent6" w:themeFillTint="66"/>
      </w:pPr>
      <w:r w:rsidRPr="002E66B9">
        <w:t>A clear and effective aim, underpinned by strong principles, sets the tone for the overall regime and becomes the key reference point for all future changes, including the process of implementing changes we recommend in this review. The aim and principles promote fairness for all stakeholders in insolvency.</w:t>
      </w:r>
    </w:p>
    <w:p w14:paraId="5245DB35" w14:textId="77777777" w:rsidR="009F0038" w:rsidRDefault="009F0038" w:rsidP="00821E12"/>
    <w:p w14:paraId="4648B140" w14:textId="77777777" w:rsidR="00BD660B" w:rsidRDefault="00BD660B" w:rsidP="00821E12"/>
    <w:p w14:paraId="5FB448CB" w14:textId="2FDE59F7" w:rsidR="004B47EF" w:rsidRPr="00003C92" w:rsidRDefault="00034094" w:rsidP="00003C92">
      <w:pPr>
        <w:pBdr>
          <w:top w:val="single" w:sz="4" w:space="1" w:color="auto"/>
          <w:left w:val="single" w:sz="4" w:space="4" w:color="auto"/>
          <w:bottom w:val="single" w:sz="4" w:space="1" w:color="auto"/>
          <w:right w:val="single" w:sz="4" w:space="4" w:color="auto"/>
        </w:pBdr>
        <w:shd w:val="clear" w:color="auto" w:fill="D9F2D0" w:themeFill="accent6" w:themeFillTint="33"/>
        <w:spacing w:before="240"/>
        <w:rPr>
          <w:rFonts w:ascii="Century Gothic" w:hAnsi="Century Gothic"/>
          <w:b/>
          <w:bCs/>
          <w:sz w:val="28"/>
          <w:szCs w:val="24"/>
        </w:rPr>
      </w:pPr>
      <w:r>
        <w:rPr>
          <w:rFonts w:ascii="Century Gothic" w:hAnsi="Century Gothic"/>
          <w:b/>
          <w:bCs/>
          <w:sz w:val="28"/>
          <w:szCs w:val="24"/>
        </w:rPr>
        <w:lastRenderedPageBreak/>
        <w:t xml:space="preserve">Core </w:t>
      </w:r>
      <w:r w:rsidR="000177B2">
        <w:rPr>
          <w:rFonts w:ascii="Century Gothic" w:hAnsi="Century Gothic"/>
          <w:b/>
          <w:bCs/>
          <w:sz w:val="28"/>
          <w:szCs w:val="24"/>
        </w:rPr>
        <w:t>r</w:t>
      </w:r>
      <w:r w:rsidR="00D3312B" w:rsidRPr="00003C92">
        <w:rPr>
          <w:rFonts w:ascii="Century Gothic" w:hAnsi="Century Gothic"/>
          <w:b/>
          <w:bCs/>
          <w:sz w:val="28"/>
          <w:szCs w:val="24"/>
        </w:rPr>
        <w:t>ecommendation</w:t>
      </w:r>
      <w:r>
        <w:rPr>
          <w:rFonts w:ascii="Century Gothic" w:hAnsi="Century Gothic"/>
          <w:b/>
          <w:bCs/>
          <w:sz w:val="28"/>
          <w:szCs w:val="24"/>
        </w:rPr>
        <w:t xml:space="preserve"> </w:t>
      </w:r>
      <w:r w:rsidR="00E66254">
        <w:rPr>
          <w:rFonts w:ascii="Century Gothic" w:hAnsi="Century Gothic"/>
          <w:b/>
          <w:bCs/>
          <w:sz w:val="28"/>
          <w:szCs w:val="24"/>
        </w:rPr>
        <w:t>1.</w:t>
      </w:r>
      <w:r>
        <w:rPr>
          <w:rFonts w:ascii="Century Gothic" w:hAnsi="Century Gothic"/>
          <w:b/>
          <w:bCs/>
          <w:sz w:val="28"/>
          <w:szCs w:val="24"/>
        </w:rPr>
        <w:t>3</w:t>
      </w:r>
    </w:p>
    <w:p w14:paraId="4C786D8C" w14:textId="7E76980A" w:rsidR="00D3312B" w:rsidRDefault="00D3312B" w:rsidP="00036104">
      <w:pPr>
        <w:pBdr>
          <w:top w:val="single" w:sz="4" w:space="1" w:color="auto"/>
          <w:left w:val="single" w:sz="4" w:space="4" w:color="auto"/>
          <w:bottom w:val="single" w:sz="4" w:space="1" w:color="auto"/>
          <w:right w:val="single" w:sz="4" w:space="4" w:color="auto"/>
        </w:pBdr>
        <w:shd w:val="clear" w:color="auto" w:fill="D9F2D0" w:themeFill="accent6" w:themeFillTint="33"/>
      </w:pPr>
      <w:r w:rsidRPr="002E66B9">
        <w:t>The language used across creditor, Insolvency Practitioner (IP), advice sector and AiB communications should be reviewed and made more positive, accessible and person-centred, reducing the risk of stigma, confusion and shame</w:t>
      </w:r>
      <w:r>
        <w:t>.</w:t>
      </w:r>
    </w:p>
    <w:p w14:paraId="5E8253DD" w14:textId="35E50F4A" w:rsidR="00D3312B" w:rsidRPr="00543E1A" w:rsidRDefault="00D3312B" w:rsidP="00003C92">
      <w:pPr>
        <w:pBdr>
          <w:top w:val="single" w:sz="4" w:space="1" w:color="auto"/>
          <w:left w:val="single" w:sz="4" w:space="4" w:color="auto"/>
          <w:bottom w:val="single" w:sz="4" w:space="1" w:color="auto"/>
          <w:right w:val="single" w:sz="4" w:space="4" w:color="auto"/>
        </w:pBdr>
        <w:shd w:val="clear" w:color="auto" w:fill="B3E5A1" w:themeFill="accent6" w:themeFillTint="66"/>
        <w:spacing w:before="240"/>
        <w:rPr>
          <w:b/>
          <w:bCs/>
          <w:sz w:val="28"/>
          <w:szCs w:val="24"/>
        </w:rPr>
      </w:pPr>
      <w:r w:rsidRPr="00003C92">
        <w:rPr>
          <w:rFonts w:ascii="Century Gothic" w:hAnsi="Century Gothic"/>
          <w:b/>
          <w:bCs/>
          <w:sz w:val="28"/>
          <w:szCs w:val="24"/>
        </w:rPr>
        <w:t>Rationale</w:t>
      </w:r>
    </w:p>
    <w:p w14:paraId="1DE527B3" w14:textId="26B3B298" w:rsidR="00D3312B" w:rsidRDefault="00D3312B" w:rsidP="00A349C0">
      <w:pPr>
        <w:pBdr>
          <w:top w:val="single" w:sz="4" w:space="1" w:color="auto"/>
          <w:left w:val="single" w:sz="4" w:space="4" w:color="auto"/>
          <w:bottom w:val="single" w:sz="4" w:space="1" w:color="auto"/>
          <w:right w:val="single" w:sz="4" w:space="4" w:color="auto"/>
        </w:pBdr>
        <w:shd w:val="clear" w:color="auto" w:fill="B3E5A1" w:themeFill="accent6" w:themeFillTint="66"/>
        <w:spacing w:after="0"/>
      </w:pPr>
      <w:r w:rsidRPr="002E66B9">
        <w:t>Changing the language around insolvency can stimulate cultural change in how society and practitioners support people with problem debt. It can also make the system more inclusive and accessible for people who may benefit from a debt solution.</w:t>
      </w:r>
    </w:p>
    <w:p w14:paraId="29C13FD2" w14:textId="77777777" w:rsidR="005610CF" w:rsidRDefault="005610CF" w:rsidP="00A349C0">
      <w:pPr>
        <w:spacing w:after="0"/>
      </w:pPr>
    </w:p>
    <w:p w14:paraId="547417E7" w14:textId="07EC55FD" w:rsidR="00FD3064" w:rsidRPr="00003C92" w:rsidRDefault="000177B2" w:rsidP="00003C92">
      <w:pPr>
        <w:pBdr>
          <w:top w:val="single" w:sz="4" w:space="1" w:color="auto"/>
          <w:left w:val="single" w:sz="4" w:space="4" w:color="auto"/>
          <w:bottom w:val="single" w:sz="4" w:space="1" w:color="auto"/>
          <w:right w:val="single" w:sz="4" w:space="4" w:color="auto"/>
        </w:pBdr>
        <w:shd w:val="clear" w:color="auto" w:fill="D9F2D0" w:themeFill="accent6" w:themeFillTint="33"/>
        <w:spacing w:before="240"/>
        <w:rPr>
          <w:rFonts w:ascii="Century Gothic" w:hAnsi="Century Gothic"/>
          <w:b/>
          <w:bCs/>
          <w:sz w:val="28"/>
          <w:szCs w:val="24"/>
        </w:rPr>
      </w:pPr>
      <w:r>
        <w:rPr>
          <w:rFonts w:ascii="Century Gothic" w:hAnsi="Century Gothic"/>
          <w:b/>
          <w:bCs/>
          <w:sz w:val="28"/>
          <w:szCs w:val="24"/>
        </w:rPr>
        <w:t>Core r</w:t>
      </w:r>
      <w:r w:rsidR="002754B3" w:rsidRPr="00003C92">
        <w:rPr>
          <w:rFonts w:ascii="Century Gothic" w:hAnsi="Century Gothic"/>
          <w:b/>
          <w:bCs/>
          <w:sz w:val="28"/>
          <w:szCs w:val="24"/>
        </w:rPr>
        <w:t>ecommendation</w:t>
      </w:r>
      <w:r w:rsidR="009170E1">
        <w:rPr>
          <w:rFonts w:ascii="Century Gothic" w:hAnsi="Century Gothic"/>
          <w:b/>
          <w:bCs/>
          <w:sz w:val="28"/>
          <w:szCs w:val="24"/>
        </w:rPr>
        <w:t xml:space="preserve"> </w:t>
      </w:r>
      <w:r w:rsidR="00E66254">
        <w:rPr>
          <w:rFonts w:ascii="Century Gothic" w:hAnsi="Century Gothic"/>
          <w:b/>
          <w:bCs/>
          <w:sz w:val="28"/>
          <w:szCs w:val="24"/>
        </w:rPr>
        <w:t>1.</w:t>
      </w:r>
      <w:r w:rsidR="009170E1">
        <w:rPr>
          <w:rFonts w:ascii="Century Gothic" w:hAnsi="Century Gothic"/>
          <w:b/>
          <w:bCs/>
          <w:sz w:val="28"/>
          <w:szCs w:val="24"/>
        </w:rPr>
        <w:t>4</w:t>
      </w:r>
    </w:p>
    <w:p w14:paraId="75AF7877" w14:textId="10AB8DD3" w:rsidR="002754B3" w:rsidRPr="002E66B9" w:rsidRDefault="002754B3" w:rsidP="00036104">
      <w:pPr>
        <w:pBdr>
          <w:top w:val="single" w:sz="4" w:space="1" w:color="auto"/>
          <w:left w:val="single" w:sz="4" w:space="4" w:color="auto"/>
          <w:bottom w:val="single" w:sz="4" w:space="1" w:color="auto"/>
          <w:right w:val="single" w:sz="4" w:space="4" w:color="auto"/>
        </w:pBdr>
        <w:shd w:val="clear" w:color="auto" w:fill="D9F2D0" w:themeFill="accent6" w:themeFillTint="33"/>
      </w:pPr>
      <w:r w:rsidRPr="002E66B9">
        <w:t>Greater consistency is needed across the standards that debt advisers, I</w:t>
      </w:r>
      <w:r w:rsidR="009D36E9">
        <w:t>P</w:t>
      </w:r>
      <w:r w:rsidRPr="002E66B9">
        <w:t xml:space="preserve">s, creditors and AiB are held to. Every standard setter should review existing rules, guidance and principles to ensure they have broad alignment with the FCA’s Consumer Duty, as well as including a recognition that all stakeholders in the system should be treated with dignity and respect. </w:t>
      </w:r>
    </w:p>
    <w:p w14:paraId="25CBEEDD" w14:textId="76EDF5DB" w:rsidR="002754B3" w:rsidRPr="00003C92" w:rsidRDefault="002754B3" w:rsidP="00003C92">
      <w:pPr>
        <w:pBdr>
          <w:top w:val="single" w:sz="4" w:space="1" w:color="auto"/>
          <w:left w:val="single" w:sz="4" w:space="4" w:color="auto"/>
          <w:bottom w:val="single" w:sz="4" w:space="1" w:color="auto"/>
          <w:right w:val="single" w:sz="4" w:space="4" w:color="auto"/>
        </w:pBdr>
        <w:shd w:val="clear" w:color="auto" w:fill="B3E5A1" w:themeFill="accent6" w:themeFillTint="66"/>
        <w:spacing w:before="240"/>
        <w:rPr>
          <w:rFonts w:ascii="Century Gothic" w:hAnsi="Century Gothic"/>
          <w:b/>
          <w:bCs/>
          <w:sz w:val="28"/>
          <w:szCs w:val="24"/>
        </w:rPr>
      </w:pPr>
      <w:r w:rsidRPr="00003C92">
        <w:rPr>
          <w:rFonts w:ascii="Century Gothic" w:hAnsi="Century Gothic"/>
          <w:b/>
          <w:bCs/>
          <w:sz w:val="28"/>
          <w:szCs w:val="24"/>
        </w:rPr>
        <w:t>Rationale</w:t>
      </w:r>
    </w:p>
    <w:p w14:paraId="79C02934" w14:textId="3115EAC8" w:rsidR="004B47EF" w:rsidRDefault="002754B3" w:rsidP="00036104">
      <w:pPr>
        <w:pBdr>
          <w:top w:val="single" w:sz="4" w:space="1" w:color="auto"/>
          <w:left w:val="single" w:sz="4" w:space="4" w:color="auto"/>
          <w:bottom w:val="single" w:sz="4" w:space="1" w:color="auto"/>
          <w:right w:val="single" w:sz="4" w:space="4" w:color="auto"/>
        </w:pBdr>
        <w:shd w:val="clear" w:color="auto" w:fill="B3E5A1" w:themeFill="accent6" w:themeFillTint="66"/>
      </w:pPr>
      <w:r w:rsidRPr="002E66B9">
        <w:t xml:space="preserve">There are inconsistencies between the different standards that exist for different stakeholders in the insolvency regime. This creates issues for people in debt and for those advising them and administering their solutions. Some creditors are also likely to be experiencing unfairness compared to other creditors where some may choose to act to lower standards. The FCA Consumer Duty is currently seen as best practice and has been robustly tested and consulted upon, so is the best available standard to promote alignment to. </w:t>
      </w:r>
      <w:r w:rsidR="009D36E9">
        <w:t xml:space="preserve">More information can be found in the </w:t>
      </w:r>
      <w:hyperlink r:id="rId21" w:history="1">
        <w:r w:rsidR="009D36E9" w:rsidRPr="00812BC3">
          <w:rPr>
            <w:rStyle w:val="Hyperlink"/>
            <w:color w:val="215E99" w:themeColor="text2" w:themeTint="BF"/>
          </w:rPr>
          <w:t>FCA’s letter to CEOs of debt advice agencies</w:t>
        </w:r>
      </w:hyperlink>
      <w:r w:rsidR="009D36E9">
        <w:t xml:space="preserve"> sent in 2023. </w:t>
      </w:r>
      <w:r w:rsidRPr="002E66B9">
        <w:t>Greater focus on dignity and respect by all stakeholders in the system is a matter of decency and is the right thing to do. Overall, a consistent approach enables a more predictable, efficient and fair insolvency system.</w:t>
      </w:r>
    </w:p>
    <w:p w14:paraId="64681B66" w14:textId="77777777" w:rsidR="005610CF" w:rsidRDefault="005610CF" w:rsidP="00821E12"/>
    <w:p w14:paraId="354452C1" w14:textId="0277A048" w:rsidR="002754B3" w:rsidRPr="00003C92" w:rsidRDefault="000177B2" w:rsidP="00003C92">
      <w:pPr>
        <w:pBdr>
          <w:top w:val="single" w:sz="4" w:space="1" w:color="auto"/>
          <w:left w:val="single" w:sz="4" w:space="4" w:color="auto"/>
          <w:bottom w:val="single" w:sz="4" w:space="1" w:color="auto"/>
          <w:right w:val="single" w:sz="4" w:space="4" w:color="auto"/>
        </w:pBdr>
        <w:shd w:val="clear" w:color="auto" w:fill="D9F2D0" w:themeFill="accent6" w:themeFillTint="33"/>
        <w:spacing w:before="240"/>
        <w:rPr>
          <w:rFonts w:ascii="Century Gothic" w:hAnsi="Century Gothic"/>
          <w:b/>
          <w:bCs/>
          <w:sz w:val="28"/>
          <w:szCs w:val="24"/>
        </w:rPr>
      </w:pPr>
      <w:r>
        <w:rPr>
          <w:rFonts w:ascii="Century Gothic" w:hAnsi="Century Gothic"/>
          <w:b/>
          <w:bCs/>
          <w:sz w:val="28"/>
          <w:szCs w:val="24"/>
        </w:rPr>
        <w:lastRenderedPageBreak/>
        <w:t>Core r</w:t>
      </w:r>
      <w:r w:rsidR="002754B3" w:rsidRPr="00003C92">
        <w:rPr>
          <w:rFonts w:ascii="Century Gothic" w:hAnsi="Century Gothic"/>
          <w:b/>
          <w:bCs/>
          <w:sz w:val="28"/>
          <w:szCs w:val="24"/>
        </w:rPr>
        <w:t>ecommendation</w:t>
      </w:r>
      <w:r w:rsidR="00F13E63">
        <w:rPr>
          <w:rFonts w:ascii="Century Gothic" w:hAnsi="Century Gothic"/>
          <w:b/>
          <w:bCs/>
          <w:sz w:val="28"/>
          <w:szCs w:val="24"/>
        </w:rPr>
        <w:t xml:space="preserve"> </w:t>
      </w:r>
      <w:r w:rsidR="00E66254">
        <w:rPr>
          <w:rFonts w:ascii="Century Gothic" w:hAnsi="Century Gothic"/>
          <w:b/>
          <w:bCs/>
          <w:sz w:val="28"/>
          <w:szCs w:val="24"/>
        </w:rPr>
        <w:t>1.</w:t>
      </w:r>
      <w:r w:rsidR="00F13E63">
        <w:rPr>
          <w:rFonts w:ascii="Century Gothic" w:hAnsi="Century Gothic"/>
          <w:b/>
          <w:bCs/>
          <w:sz w:val="28"/>
          <w:szCs w:val="24"/>
        </w:rPr>
        <w:t>5</w:t>
      </w:r>
    </w:p>
    <w:p w14:paraId="10331A84" w14:textId="23A5943E" w:rsidR="002754B3" w:rsidRDefault="002754B3" w:rsidP="00036104">
      <w:pPr>
        <w:pBdr>
          <w:top w:val="single" w:sz="4" w:space="1" w:color="auto"/>
          <w:left w:val="single" w:sz="4" w:space="4" w:color="auto"/>
          <w:bottom w:val="single" w:sz="4" w:space="1" w:color="auto"/>
          <w:right w:val="single" w:sz="4" w:space="4" w:color="auto"/>
        </w:pBdr>
        <w:shd w:val="clear" w:color="auto" w:fill="D9F2D0" w:themeFill="accent6" w:themeFillTint="33"/>
      </w:pPr>
      <w:r w:rsidRPr="003D5606">
        <w:t>AiB should uprate all limits and allowances stated in pound sterling within the insolvency legislation and guidance by the CPI inflation measure each April. For example, this would include the upper debt limit in Minimal Asset Process (MAP) Bankruptcy and allowances for assets.</w:t>
      </w:r>
    </w:p>
    <w:p w14:paraId="3776D108" w14:textId="4B799BC4" w:rsidR="002754B3" w:rsidRPr="00003C92" w:rsidRDefault="002754B3" w:rsidP="00003C92">
      <w:pPr>
        <w:pBdr>
          <w:top w:val="single" w:sz="4" w:space="1" w:color="auto"/>
          <w:left w:val="single" w:sz="4" w:space="4" w:color="auto"/>
          <w:bottom w:val="single" w:sz="4" w:space="1" w:color="auto"/>
          <w:right w:val="single" w:sz="4" w:space="4" w:color="auto"/>
        </w:pBdr>
        <w:shd w:val="clear" w:color="auto" w:fill="B3E5A1" w:themeFill="accent6" w:themeFillTint="66"/>
        <w:spacing w:before="240"/>
        <w:rPr>
          <w:rFonts w:ascii="Century Gothic" w:hAnsi="Century Gothic"/>
          <w:b/>
          <w:bCs/>
          <w:sz w:val="28"/>
          <w:szCs w:val="24"/>
        </w:rPr>
      </w:pPr>
      <w:r w:rsidRPr="00003C92">
        <w:rPr>
          <w:rFonts w:ascii="Century Gothic" w:hAnsi="Century Gothic"/>
          <w:b/>
          <w:bCs/>
          <w:sz w:val="28"/>
          <w:szCs w:val="24"/>
        </w:rPr>
        <w:t>Rationale</w:t>
      </w:r>
    </w:p>
    <w:p w14:paraId="6FC17D44" w14:textId="2234C380" w:rsidR="002754B3" w:rsidRPr="006E409D" w:rsidRDefault="00821E12" w:rsidP="00036104">
      <w:pPr>
        <w:pBdr>
          <w:top w:val="single" w:sz="4" w:space="1" w:color="auto"/>
          <w:left w:val="single" w:sz="4" w:space="4" w:color="auto"/>
          <w:bottom w:val="single" w:sz="4" w:space="1" w:color="auto"/>
          <w:right w:val="single" w:sz="4" w:space="4" w:color="auto"/>
        </w:pBdr>
        <w:shd w:val="clear" w:color="auto" w:fill="B3E5A1" w:themeFill="accent6" w:themeFillTint="66"/>
      </w:pPr>
      <w:r w:rsidRPr="006738A2">
        <w:t>Limits and allowances which are stated in pound sterling in the regime become out of date over time. Linking them to inflation ensures they do not become disconnected from the reality of people’s lives, pro-actively avoiding issues around ongoing adequacy.</w:t>
      </w:r>
    </w:p>
    <w:p w14:paraId="3C546F51" w14:textId="122E66DA" w:rsidR="0072572F" w:rsidRDefault="0072572F">
      <w:pPr>
        <w:spacing w:line="259" w:lineRule="auto"/>
        <w:rPr>
          <w:rFonts w:ascii="Calibri" w:hAnsi="Calibri" w:cs="Calibri"/>
        </w:rPr>
      </w:pPr>
      <w:r>
        <w:rPr>
          <w:rFonts w:ascii="Calibri" w:hAnsi="Calibri" w:cs="Calibri"/>
        </w:rPr>
        <w:br w:type="page"/>
      </w:r>
    </w:p>
    <w:p w14:paraId="324400AB" w14:textId="4A9467E2" w:rsidR="007D3068" w:rsidRPr="00003C92" w:rsidRDefault="007D3068" w:rsidP="007D57C1">
      <w:pPr>
        <w:pStyle w:val="Heading2"/>
        <w:spacing w:before="0"/>
      </w:pPr>
      <w:bookmarkStart w:id="28" w:name="_Toc222222315"/>
      <w:bookmarkStart w:id="29" w:name="_Toc224203490"/>
      <w:bookmarkStart w:id="30" w:name="_Toc224203521"/>
      <w:r w:rsidRPr="00003C92">
        <w:lastRenderedPageBreak/>
        <w:t xml:space="preserve">Core Area Two: Better </w:t>
      </w:r>
      <w:r w:rsidRPr="00A61E46">
        <w:t>Joining</w:t>
      </w:r>
      <w:r w:rsidRPr="00003C92">
        <w:t>-up the System</w:t>
      </w:r>
      <w:bookmarkEnd w:id="28"/>
      <w:bookmarkEnd w:id="29"/>
      <w:bookmarkEnd w:id="30"/>
    </w:p>
    <w:p w14:paraId="74065131" w14:textId="3A64D18A" w:rsidR="004D4F03" w:rsidRDefault="007D3068" w:rsidP="00003C92">
      <w:r w:rsidRPr="007D3068">
        <w:t xml:space="preserve">To improve the experience of all stakeholders in the regime, reduce inefficiencies and increase the impact the system has for consumers and broader society. </w:t>
      </w:r>
    </w:p>
    <w:p w14:paraId="325505EE" w14:textId="0E190AAF" w:rsidR="009F0038" w:rsidRPr="00003C92" w:rsidRDefault="000177B2" w:rsidP="00E20BA4">
      <w:pPr>
        <w:pBdr>
          <w:top w:val="single" w:sz="4" w:space="1" w:color="auto"/>
          <w:left w:val="single" w:sz="4" w:space="4" w:color="auto"/>
          <w:bottom w:val="single" w:sz="4" w:space="1" w:color="auto"/>
          <w:right w:val="single" w:sz="4" w:space="4" w:color="auto"/>
        </w:pBdr>
        <w:shd w:val="clear" w:color="auto" w:fill="FAE2D5" w:themeFill="accent2" w:themeFillTint="33"/>
        <w:spacing w:before="160"/>
        <w:rPr>
          <w:rFonts w:ascii="Century Gothic" w:hAnsi="Century Gothic"/>
          <w:b/>
          <w:bCs/>
          <w:sz w:val="28"/>
          <w:szCs w:val="24"/>
        </w:rPr>
      </w:pPr>
      <w:r>
        <w:rPr>
          <w:rFonts w:ascii="Century Gothic" w:hAnsi="Century Gothic"/>
          <w:b/>
          <w:bCs/>
          <w:sz w:val="28"/>
          <w:szCs w:val="24"/>
        </w:rPr>
        <w:t>Core r</w:t>
      </w:r>
      <w:r w:rsidR="009F0038" w:rsidRPr="00003C92">
        <w:rPr>
          <w:rFonts w:ascii="Century Gothic" w:hAnsi="Century Gothic"/>
          <w:b/>
          <w:bCs/>
          <w:sz w:val="28"/>
          <w:szCs w:val="24"/>
        </w:rPr>
        <w:t>ecommendation</w:t>
      </w:r>
      <w:r w:rsidR="00F13E63">
        <w:rPr>
          <w:rFonts w:ascii="Century Gothic" w:hAnsi="Century Gothic"/>
          <w:b/>
          <w:bCs/>
          <w:sz w:val="28"/>
          <w:szCs w:val="24"/>
        </w:rPr>
        <w:t xml:space="preserve"> </w:t>
      </w:r>
      <w:r w:rsidR="00E66254">
        <w:rPr>
          <w:rFonts w:ascii="Century Gothic" w:hAnsi="Century Gothic"/>
          <w:b/>
          <w:bCs/>
          <w:sz w:val="28"/>
          <w:szCs w:val="24"/>
        </w:rPr>
        <w:t>2.</w:t>
      </w:r>
      <w:r w:rsidR="00F13E63">
        <w:rPr>
          <w:rFonts w:ascii="Century Gothic" w:hAnsi="Century Gothic"/>
          <w:b/>
          <w:bCs/>
          <w:sz w:val="28"/>
          <w:szCs w:val="24"/>
        </w:rPr>
        <w:t>1</w:t>
      </w:r>
    </w:p>
    <w:p w14:paraId="12B91AE5" w14:textId="60BB49A7" w:rsidR="00EF03A9" w:rsidRDefault="00EF03A9" w:rsidP="00A349C0">
      <w:pPr>
        <w:pBdr>
          <w:top w:val="single" w:sz="4" w:space="1" w:color="auto"/>
          <w:left w:val="single" w:sz="4" w:space="4" w:color="auto"/>
          <w:bottom w:val="single" w:sz="4" w:space="1" w:color="auto"/>
          <w:right w:val="single" w:sz="4" w:space="4" w:color="auto"/>
        </w:pBdr>
        <w:shd w:val="clear" w:color="auto" w:fill="FAE2D5" w:themeFill="accent2" w:themeFillTint="33"/>
        <w:rPr>
          <w:rFonts w:cs="Arial"/>
        </w:rPr>
      </w:pPr>
      <w:r w:rsidRPr="008D7A92">
        <w:rPr>
          <w:rFonts w:cs="Arial"/>
        </w:rPr>
        <w:t>Stronger links should be built between debt advice and other key support services that people in debt may often use. These include welfare benefit services, employment support, housing support, health services, addiction support and other key public services.</w:t>
      </w:r>
    </w:p>
    <w:p w14:paraId="335073FC" w14:textId="434EF8B0" w:rsidR="00B867BC" w:rsidRPr="00F1659F" w:rsidRDefault="000177B2" w:rsidP="00A349C0">
      <w:pPr>
        <w:pBdr>
          <w:top w:val="single" w:sz="4" w:space="1" w:color="auto"/>
          <w:left w:val="single" w:sz="4" w:space="4" w:color="auto"/>
          <w:bottom w:val="single" w:sz="4" w:space="1" w:color="auto"/>
          <w:right w:val="single" w:sz="4" w:space="4" w:color="auto"/>
        </w:pBdr>
        <w:shd w:val="clear" w:color="auto" w:fill="FAE2D5" w:themeFill="accent2" w:themeFillTint="33"/>
        <w:rPr>
          <w:rFonts w:ascii="Century Gothic" w:hAnsi="Century Gothic" w:cs="Arial"/>
          <w:b/>
          <w:bCs/>
          <w:i/>
          <w:iCs/>
          <w:sz w:val="28"/>
          <w:szCs w:val="24"/>
        </w:rPr>
      </w:pPr>
      <w:r w:rsidRPr="005E3D28">
        <w:rPr>
          <w:rFonts w:ascii="Century Gothic" w:hAnsi="Century Gothic" w:cs="Arial"/>
          <w:b/>
          <w:bCs/>
          <w:sz w:val="28"/>
          <w:szCs w:val="24"/>
        </w:rPr>
        <w:t xml:space="preserve">Core recommendation </w:t>
      </w:r>
      <w:r w:rsidR="00E66254">
        <w:rPr>
          <w:rFonts w:ascii="Century Gothic" w:hAnsi="Century Gothic" w:cs="Arial"/>
          <w:b/>
          <w:bCs/>
          <w:sz w:val="28"/>
          <w:szCs w:val="24"/>
        </w:rPr>
        <w:t>2.</w:t>
      </w:r>
      <w:r w:rsidRPr="005E3D28">
        <w:rPr>
          <w:rFonts w:ascii="Century Gothic" w:hAnsi="Century Gothic" w:cs="Arial"/>
          <w:b/>
          <w:bCs/>
          <w:sz w:val="28"/>
          <w:szCs w:val="24"/>
        </w:rPr>
        <w:t>2</w:t>
      </w:r>
    </w:p>
    <w:p w14:paraId="6249820E" w14:textId="0C058415" w:rsidR="00EF03A9" w:rsidRDefault="00EF03A9" w:rsidP="00A349C0">
      <w:pPr>
        <w:pBdr>
          <w:top w:val="single" w:sz="4" w:space="1" w:color="auto"/>
          <w:left w:val="single" w:sz="4" w:space="4" w:color="auto"/>
          <w:bottom w:val="single" w:sz="4" w:space="1" w:color="auto"/>
          <w:right w:val="single" w:sz="4" w:space="4" w:color="auto"/>
        </w:pBdr>
        <w:shd w:val="clear" w:color="auto" w:fill="FAE2D5" w:themeFill="accent2" w:themeFillTint="33"/>
        <w:rPr>
          <w:rFonts w:cs="Arial"/>
        </w:rPr>
      </w:pPr>
      <w:r w:rsidRPr="008D7A92">
        <w:rPr>
          <w:rFonts w:cs="Arial"/>
        </w:rPr>
        <w:t>Whilst not an exhaustive list of how this should be achieved, as a minimum it should include the build of seamless referrals between relevant services, including the ability for a client’s data to be transferred (with client consent), and the sharing of broader good practice between services. This, in effect, should deliver a ‘no wrong door’ approach between key support services in Scotland.</w:t>
      </w:r>
    </w:p>
    <w:p w14:paraId="188E62C3" w14:textId="79550CD3" w:rsidR="000177B2" w:rsidRPr="00F1659F" w:rsidRDefault="000177B2" w:rsidP="00A349C0">
      <w:pPr>
        <w:pBdr>
          <w:top w:val="single" w:sz="4" w:space="1" w:color="auto"/>
          <w:left w:val="single" w:sz="4" w:space="4" w:color="auto"/>
          <w:bottom w:val="single" w:sz="4" w:space="1" w:color="auto"/>
          <w:right w:val="single" w:sz="4" w:space="4" w:color="auto"/>
        </w:pBdr>
        <w:shd w:val="clear" w:color="auto" w:fill="FAE2D5" w:themeFill="accent2" w:themeFillTint="33"/>
        <w:rPr>
          <w:rFonts w:ascii="Century Gothic" w:hAnsi="Century Gothic" w:cs="Arial"/>
          <w:b/>
          <w:bCs/>
          <w:sz w:val="28"/>
          <w:szCs w:val="24"/>
        </w:rPr>
      </w:pPr>
      <w:r w:rsidRPr="00F1659F">
        <w:rPr>
          <w:rFonts w:ascii="Century Gothic" w:hAnsi="Century Gothic" w:cs="Arial"/>
          <w:b/>
          <w:bCs/>
          <w:sz w:val="28"/>
          <w:szCs w:val="24"/>
        </w:rPr>
        <w:t xml:space="preserve">Core recommendation </w:t>
      </w:r>
      <w:r w:rsidR="00E66254">
        <w:rPr>
          <w:rFonts w:ascii="Century Gothic" w:hAnsi="Century Gothic" w:cs="Arial"/>
          <w:b/>
          <w:bCs/>
          <w:sz w:val="28"/>
          <w:szCs w:val="24"/>
        </w:rPr>
        <w:t>2.</w:t>
      </w:r>
      <w:r w:rsidRPr="00F1659F">
        <w:rPr>
          <w:rFonts w:ascii="Century Gothic" w:hAnsi="Century Gothic" w:cs="Arial"/>
          <w:b/>
          <w:bCs/>
          <w:sz w:val="28"/>
          <w:szCs w:val="24"/>
        </w:rPr>
        <w:t>3</w:t>
      </w:r>
    </w:p>
    <w:p w14:paraId="03CB01D1" w14:textId="4838FD56" w:rsidR="00EF03A9" w:rsidRDefault="00EF03A9" w:rsidP="00A349C0">
      <w:pPr>
        <w:pBdr>
          <w:top w:val="single" w:sz="4" w:space="1" w:color="auto"/>
          <w:left w:val="single" w:sz="4" w:space="4" w:color="auto"/>
          <w:bottom w:val="single" w:sz="4" w:space="1" w:color="auto"/>
          <w:right w:val="single" w:sz="4" w:space="4" w:color="auto"/>
        </w:pBdr>
        <w:shd w:val="clear" w:color="auto" w:fill="FAE2D5" w:themeFill="accent2" w:themeFillTint="33"/>
        <w:rPr>
          <w:rFonts w:cs="Arial"/>
        </w:rPr>
      </w:pPr>
      <w:r w:rsidRPr="008D7A92">
        <w:rPr>
          <w:rFonts w:cs="Arial"/>
        </w:rPr>
        <w:t>Aligned to this, the Scottish Government should commission a feasibility study into the design, engagement approach, technological requirements, legal structure and implementation strategy for a ‘tell</w:t>
      </w:r>
      <w:r>
        <w:rPr>
          <w:rFonts w:cs="Arial"/>
        </w:rPr>
        <w:t xml:space="preserve"> </w:t>
      </w:r>
      <w:r w:rsidRPr="008D7A92">
        <w:rPr>
          <w:rFonts w:cs="Arial"/>
        </w:rPr>
        <w:t>us once’ initiative. This would allow consumers to share their support needs with multiple organisations in a simple, standardised way.</w:t>
      </w:r>
    </w:p>
    <w:p w14:paraId="575253A5" w14:textId="38A61C3C" w:rsidR="00EF03A9" w:rsidRPr="00003C92" w:rsidRDefault="00EF03A9" w:rsidP="00003C92">
      <w:pPr>
        <w:pBdr>
          <w:top w:val="single" w:sz="4" w:space="1" w:color="auto"/>
          <w:left w:val="single" w:sz="4" w:space="4" w:color="auto"/>
          <w:bottom w:val="single" w:sz="4" w:space="1" w:color="auto"/>
          <w:right w:val="single" w:sz="4" w:space="4" w:color="auto"/>
        </w:pBdr>
        <w:shd w:val="clear" w:color="auto" w:fill="F6C5AC" w:themeFill="accent2" w:themeFillTint="66"/>
        <w:spacing w:before="240"/>
        <w:rPr>
          <w:rFonts w:ascii="Century Gothic" w:hAnsi="Century Gothic" w:cs="Arial"/>
          <w:b/>
          <w:bCs/>
          <w:sz w:val="28"/>
          <w:szCs w:val="24"/>
        </w:rPr>
      </w:pPr>
      <w:r w:rsidRPr="00003C92">
        <w:rPr>
          <w:rFonts w:ascii="Century Gothic" w:hAnsi="Century Gothic" w:cs="Arial"/>
          <w:b/>
          <w:bCs/>
          <w:sz w:val="28"/>
          <w:szCs w:val="24"/>
        </w:rPr>
        <w:t>Rationale</w:t>
      </w:r>
    </w:p>
    <w:p w14:paraId="03B18781" w14:textId="60BAFDEB" w:rsidR="00EF03A9" w:rsidRDefault="00EF03A9" w:rsidP="003558D5">
      <w:pPr>
        <w:pBdr>
          <w:top w:val="single" w:sz="4" w:space="1" w:color="auto"/>
          <w:left w:val="single" w:sz="4" w:space="4" w:color="auto"/>
          <w:bottom w:val="single" w:sz="4" w:space="1" w:color="auto"/>
          <w:right w:val="single" w:sz="4" w:space="4" w:color="auto"/>
        </w:pBdr>
        <w:shd w:val="clear" w:color="auto" w:fill="F6C5AC" w:themeFill="accent2" w:themeFillTint="66"/>
        <w:spacing w:after="0"/>
        <w:rPr>
          <w:rFonts w:cs="Arial"/>
        </w:rPr>
      </w:pPr>
      <w:r w:rsidRPr="00E62786">
        <w:rPr>
          <w:rFonts w:cs="Arial"/>
        </w:rPr>
        <w:t>There is significant evidence that people in debt commonly also experience other issues impacting their lifestyle, wellbeing and finances. However, many support services currently work in silo from each other, missing an opportunity to help people holistically. Additionally, the proportion of people experiencing a deficit budget (i.e. having income insufficient to meet essential expenditure) has grown markedly in the past ten years</w:t>
      </w:r>
      <w:r w:rsidR="005D65D0">
        <w:rPr>
          <w:rFonts w:cs="Arial"/>
        </w:rPr>
        <w:t>, with several advi</w:t>
      </w:r>
      <w:r w:rsidR="003341FA">
        <w:rPr>
          <w:rFonts w:cs="Arial"/>
        </w:rPr>
        <w:t>c</w:t>
      </w:r>
      <w:r w:rsidR="005D65D0">
        <w:rPr>
          <w:rFonts w:cs="Arial"/>
        </w:rPr>
        <w:t>e agencies stating 30</w:t>
      </w:r>
      <w:r w:rsidR="001A2EB3">
        <w:rPr>
          <w:rFonts w:cs="Arial"/>
        </w:rPr>
        <w:t xml:space="preserve"> </w:t>
      </w:r>
      <w:r w:rsidR="005D65D0">
        <w:rPr>
          <w:rFonts w:cs="Arial"/>
        </w:rPr>
        <w:t>-</w:t>
      </w:r>
      <w:r w:rsidR="001A2EB3">
        <w:rPr>
          <w:rFonts w:cs="Arial"/>
        </w:rPr>
        <w:t xml:space="preserve"> </w:t>
      </w:r>
      <w:r w:rsidR="005D65D0">
        <w:rPr>
          <w:rFonts w:cs="Arial"/>
        </w:rPr>
        <w:t>50% of their clients hav</w:t>
      </w:r>
      <w:r w:rsidR="00E31F46">
        <w:rPr>
          <w:rFonts w:cs="Arial"/>
        </w:rPr>
        <w:t>e</w:t>
      </w:r>
      <w:r w:rsidR="005D65D0">
        <w:rPr>
          <w:rFonts w:cs="Arial"/>
        </w:rPr>
        <w:t xml:space="preserve"> a deficit budget</w:t>
      </w:r>
      <w:r w:rsidRPr="00E62786">
        <w:rPr>
          <w:rFonts w:cs="Arial"/>
        </w:rPr>
        <w:t xml:space="preserve">. For many people in debt therefore, insolvency solutions can have limited value in isolation, and dealing with their debts alone may only have partial </w:t>
      </w:r>
      <w:r w:rsidRPr="00E62786">
        <w:rPr>
          <w:rFonts w:cs="Arial"/>
        </w:rPr>
        <w:lastRenderedPageBreak/>
        <w:t xml:space="preserve">and short-term benefit. To maximise long term positive outcomes for people, a mixture of support is needed. Delivering that in a way which people find accessible, and that they have the bandwidth to complete, means making it as easy and joined up as possible. We recognise better </w:t>
      </w:r>
      <w:proofErr w:type="gramStart"/>
      <w:r w:rsidRPr="00E62786">
        <w:rPr>
          <w:rFonts w:cs="Arial"/>
        </w:rPr>
        <w:t>joining-up</w:t>
      </w:r>
      <w:proofErr w:type="gramEnd"/>
      <w:r w:rsidRPr="00E62786">
        <w:rPr>
          <w:rFonts w:cs="Arial"/>
        </w:rPr>
        <w:t xml:space="preserve"> of services is not simple but it is central to ensuring the insolvency regime, and the connected eco-system, is fit for the modern economy. We note there are smaller scale examples of ‘no wrong door’ and ‘tell us once’ initiatives already operating in Scotland (and elsewhere in the UK), from which lessons can be taken for versions at scale.</w:t>
      </w:r>
    </w:p>
    <w:p w14:paraId="7B1DF8F3" w14:textId="77777777" w:rsidR="00792446" w:rsidRDefault="00792446" w:rsidP="00DE18FD">
      <w:pPr>
        <w:rPr>
          <w:rFonts w:cs="Arial"/>
        </w:rPr>
      </w:pPr>
    </w:p>
    <w:p w14:paraId="6E07D4A1" w14:textId="18E4530E" w:rsidR="00EF03A9" w:rsidRPr="00003C92" w:rsidRDefault="00B867BC" w:rsidP="00003C92">
      <w:pPr>
        <w:pBdr>
          <w:top w:val="single" w:sz="4" w:space="1" w:color="auto"/>
          <w:left w:val="single" w:sz="4" w:space="4" w:color="auto"/>
          <w:bottom w:val="single" w:sz="4" w:space="1" w:color="auto"/>
          <w:right w:val="single" w:sz="4" w:space="4" w:color="auto"/>
        </w:pBdr>
        <w:shd w:val="clear" w:color="auto" w:fill="FAE2D5" w:themeFill="accent2" w:themeFillTint="33"/>
        <w:spacing w:before="240"/>
        <w:rPr>
          <w:rFonts w:ascii="Century Gothic" w:hAnsi="Century Gothic" w:cs="Arial"/>
          <w:b/>
          <w:bCs/>
          <w:sz w:val="28"/>
          <w:szCs w:val="24"/>
        </w:rPr>
      </w:pPr>
      <w:r>
        <w:rPr>
          <w:rFonts w:ascii="Century Gothic" w:hAnsi="Century Gothic" w:cs="Arial"/>
          <w:b/>
          <w:bCs/>
          <w:sz w:val="28"/>
          <w:szCs w:val="24"/>
        </w:rPr>
        <w:t>Core r</w:t>
      </w:r>
      <w:r w:rsidR="00EF03A9" w:rsidRPr="00003C92">
        <w:rPr>
          <w:rFonts w:ascii="Century Gothic" w:hAnsi="Century Gothic" w:cs="Arial"/>
          <w:b/>
          <w:bCs/>
          <w:sz w:val="28"/>
          <w:szCs w:val="24"/>
        </w:rPr>
        <w:t>ecommendation</w:t>
      </w:r>
      <w:r w:rsidR="00B548B2">
        <w:rPr>
          <w:rFonts w:ascii="Century Gothic" w:hAnsi="Century Gothic" w:cs="Arial"/>
          <w:b/>
          <w:bCs/>
          <w:sz w:val="28"/>
          <w:szCs w:val="24"/>
        </w:rPr>
        <w:t xml:space="preserve"> </w:t>
      </w:r>
      <w:r w:rsidR="00E66254">
        <w:rPr>
          <w:rFonts w:ascii="Century Gothic" w:hAnsi="Century Gothic" w:cs="Arial"/>
          <w:b/>
          <w:bCs/>
          <w:sz w:val="28"/>
          <w:szCs w:val="24"/>
        </w:rPr>
        <w:t>2.</w:t>
      </w:r>
      <w:r w:rsidR="00B548B2">
        <w:rPr>
          <w:rFonts w:ascii="Century Gothic" w:hAnsi="Century Gothic" w:cs="Arial"/>
          <w:b/>
          <w:bCs/>
          <w:sz w:val="28"/>
          <w:szCs w:val="24"/>
        </w:rPr>
        <w:t>4</w:t>
      </w:r>
    </w:p>
    <w:p w14:paraId="5FF7A6BB" w14:textId="34B037B2" w:rsidR="00EF03A9" w:rsidRPr="00B909A4" w:rsidRDefault="00EF03A9" w:rsidP="00A349C0">
      <w:pPr>
        <w:pBdr>
          <w:top w:val="single" w:sz="4" w:space="1" w:color="auto"/>
          <w:left w:val="single" w:sz="4" w:space="4" w:color="auto"/>
          <w:bottom w:val="single" w:sz="4" w:space="1" w:color="auto"/>
          <w:right w:val="single" w:sz="4" w:space="4" w:color="auto"/>
        </w:pBdr>
        <w:shd w:val="clear" w:color="auto" w:fill="FAE2D5" w:themeFill="accent2" w:themeFillTint="33"/>
        <w:rPr>
          <w:rFonts w:cs="Arial"/>
        </w:rPr>
      </w:pPr>
      <w:r w:rsidRPr="00B909A4">
        <w:rPr>
          <w:rFonts w:cs="Arial"/>
        </w:rPr>
        <w:t xml:space="preserve">A Memorandum of Understanding (MOU) should be established between AiB and the FCA to ensure closer operational alignment and to be better joined up in tackling poor creditor practice. It may also be appropriate for AiB to </w:t>
      </w:r>
      <w:proofErr w:type="gramStart"/>
      <w:r w:rsidRPr="00B909A4">
        <w:rPr>
          <w:rFonts w:cs="Arial"/>
        </w:rPr>
        <w:t>enter into</w:t>
      </w:r>
      <w:proofErr w:type="gramEnd"/>
      <w:r w:rsidRPr="00B909A4">
        <w:rPr>
          <w:rFonts w:cs="Arial"/>
        </w:rPr>
        <w:t xml:space="preserve"> further MOUs with other regulators in due course. More broadly, closer working relations should be built between AiB, the FCA, Scottish Government and the Insolvency Service. As </w:t>
      </w:r>
      <w:proofErr w:type="gramStart"/>
      <w:r w:rsidRPr="00B909A4">
        <w:rPr>
          <w:rFonts w:cs="Arial"/>
        </w:rPr>
        <w:t>a first priority</w:t>
      </w:r>
      <w:proofErr w:type="gramEnd"/>
      <w:r w:rsidRPr="00B909A4">
        <w:rPr>
          <w:rFonts w:cs="Arial"/>
        </w:rPr>
        <w:t xml:space="preserve">, this closer working should focus on developing more progressive and representative reporting of debt solutions by Credit Reference Agencies onto people’s credit files. </w:t>
      </w:r>
    </w:p>
    <w:p w14:paraId="6CD985DF" w14:textId="060AD327" w:rsidR="00EF03A9" w:rsidRPr="00003C92" w:rsidRDefault="00EF03A9" w:rsidP="00003C92">
      <w:pPr>
        <w:pBdr>
          <w:top w:val="single" w:sz="4" w:space="1" w:color="auto"/>
          <w:left w:val="single" w:sz="4" w:space="4" w:color="auto"/>
          <w:bottom w:val="single" w:sz="4" w:space="1" w:color="auto"/>
          <w:right w:val="single" w:sz="4" w:space="4" w:color="auto"/>
        </w:pBdr>
        <w:shd w:val="clear" w:color="auto" w:fill="F6C5AC" w:themeFill="accent2" w:themeFillTint="66"/>
        <w:spacing w:before="240"/>
        <w:rPr>
          <w:rFonts w:ascii="Century Gothic" w:hAnsi="Century Gothic" w:cs="Arial"/>
          <w:b/>
          <w:bCs/>
          <w:sz w:val="28"/>
          <w:szCs w:val="24"/>
        </w:rPr>
      </w:pPr>
      <w:r w:rsidRPr="00003C92">
        <w:rPr>
          <w:rFonts w:ascii="Century Gothic" w:hAnsi="Century Gothic" w:cs="Arial"/>
          <w:b/>
          <w:bCs/>
          <w:sz w:val="28"/>
          <w:szCs w:val="24"/>
        </w:rPr>
        <w:t>Rationale</w:t>
      </w:r>
    </w:p>
    <w:p w14:paraId="5B9C8C2C" w14:textId="5769F71E" w:rsidR="00EF03A9" w:rsidRDefault="00EF03A9" w:rsidP="00A349C0">
      <w:pPr>
        <w:pBdr>
          <w:top w:val="single" w:sz="4" w:space="1" w:color="auto"/>
          <w:left w:val="single" w:sz="4" w:space="4" w:color="auto"/>
          <w:bottom w:val="single" w:sz="4" w:space="1" w:color="auto"/>
          <w:right w:val="single" w:sz="4" w:space="4" w:color="auto"/>
        </w:pBdr>
        <w:shd w:val="clear" w:color="auto" w:fill="F6C5AC" w:themeFill="accent2" w:themeFillTint="66"/>
        <w:rPr>
          <w:rFonts w:cs="Arial"/>
        </w:rPr>
      </w:pPr>
      <w:r w:rsidRPr="00C55CCB">
        <w:rPr>
          <w:rFonts w:cs="Arial"/>
        </w:rPr>
        <w:t>Key regulators and policy makers are not currently working as closely together as they should, meaning poor practice is being allowed, mixed messages are received by stakeholders and opportunities for complementary work is being missed. Furthermore, the combined insight and influence of AiB, the FCA, Scottish Government and the Insolvency Service can promote positive change for the insolvency system at large. Credit Reference Agency reporting should be an early priority as fears of impacting a credit score is one of the key barriers to people seeking help and solutions, and more pointedly, current reporting approaches do not accurately reflect the actual likely credit risk of those complying with a statutory debt solution.</w:t>
      </w:r>
    </w:p>
    <w:p w14:paraId="151EDAB5" w14:textId="77777777" w:rsidR="003558D5" w:rsidRDefault="003558D5" w:rsidP="00DE18FD">
      <w:pPr>
        <w:rPr>
          <w:rFonts w:cs="Arial"/>
        </w:rPr>
      </w:pPr>
    </w:p>
    <w:p w14:paraId="4750DA34" w14:textId="2AA19522" w:rsidR="002D51BB" w:rsidRPr="00003C92" w:rsidRDefault="00B867BC" w:rsidP="00003C92">
      <w:pPr>
        <w:pBdr>
          <w:top w:val="single" w:sz="4" w:space="1" w:color="auto"/>
          <w:left w:val="single" w:sz="4" w:space="4" w:color="auto"/>
          <w:bottom w:val="single" w:sz="4" w:space="1" w:color="auto"/>
          <w:right w:val="single" w:sz="4" w:space="4" w:color="auto"/>
        </w:pBdr>
        <w:shd w:val="clear" w:color="auto" w:fill="FAE2D5" w:themeFill="accent2" w:themeFillTint="33"/>
        <w:spacing w:before="240"/>
        <w:rPr>
          <w:rFonts w:ascii="Century Gothic" w:hAnsi="Century Gothic" w:cs="Arial"/>
          <w:b/>
          <w:bCs/>
          <w:sz w:val="28"/>
          <w:szCs w:val="24"/>
        </w:rPr>
      </w:pPr>
      <w:r>
        <w:rPr>
          <w:rFonts w:ascii="Century Gothic" w:hAnsi="Century Gothic" w:cs="Arial"/>
          <w:b/>
          <w:bCs/>
          <w:sz w:val="28"/>
          <w:szCs w:val="24"/>
        </w:rPr>
        <w:lastRenderedPageBreak/>
        <w:t>Core r</w:t>
      </w:r>
      <w:r w:rsidR="002D51BB" w:rsidRPr="00003C92">
        <w:rPr>
          <w:rFonts w:ascii="Century Gothic" w:hAnsi="Century Gothic" w:cs="Arial"/>
          <w:b/>
          <w:bCs/>
          <w:sz w:val="28"/>
          <w:szCs w:val="24"/>
        </w:rPr>
        <w:t>ecommendation</w:t>
      </w:r>
      <w:r w:rsidR="00B548B2">
        <w:rPr>
          <w:rFonts w:ascii="Century Gothic" w:hAnsi="Century Gothic" w:cs="Arial"/>
          <w:b/>
          <w:bCs/>
          <w:sz w:val="28"/>
          <w:szCs w:val="24"/>
        </w:rPr>
        <w:t xml:space="preserve"> </w:t>
      </w:r>
      <w:r w:rsidR="00E66254">
        <w:rPr>
          <w:rFonts w:ascii="Century Gothic" w:hAnsi="Century Gothic" w:cs="Arial"/>
          <w:b/>
          <w:bCs/>
          <w:sz w:val="28"/>
          <w:szCs w:val="24"/>
        </w:rPr>
        <w:t>2.</w:t>
      </w:r>
      <w:r w:rsidR="00B548B2">
        <w:rPr>
          <w:rFonts w:ascii="Century Gothic" w:hAnsi="Century Gothic" w:cs="Arial"/>
          <w:b/>
          <w:bCs/>
          <w:sz w:val="28"/>
          <w:szCs w:val="24"/>
        </w:rPr>
        <w:t>5</w:t>
      </w:r>
    </w:p>
    <w:p w14:paraId="5F3AA123" w14:textId="448A5F94" w:rsidR="002D51BB" w:rsidRDefault="00DE18FD" w:rsidP="00A349C0">
      <w:pPr>
        <w:pBdr>
          <w:top w:val="single" w:sz="4" w:space="1" w:color="auto"/>
          <w:left w:val="single" w:sz="4" w:space="4" w:color="auto"/>
          <w:bottom w:val="single" w:sz="4" w:space="1" w:color="auto"/>
          <w:right w:val="single" w:sz="4" w:space="4" w:color="auto"/>
        </w:pBdr>
        <w:shd w:val="clear" w:color="auto" w:fill="FAE2D5" w:themeFill="accent2" w:themeFillTint="33"/>
        <w:rPr>
          <w:rFonts w:cs="Arial"/>
        </w:rPr>
      </w:pPr>
      <w:r w:rsidRPr="005B298C">
        <w:rPr>
          <w:rFonts w:cs="Arial"/>
        </w:rPr>
        <w:t xml:space="preserve">AiB should change rules and systems to make it easier for people to transfer between insolvency solutions. Detailed proposals to deliver this are contained in the </w:t>
      </w:r>
      <w:hyperlink r:id="rId22" w:history="1">
        <w:r w:rsidR="00491E93" w:rsidRPr="002E4742">
          <w:rPr>
            <w:rStyle w:val="Hyperlink"/>
          </w:rPr>
          <w:t>Feedback and Recommendations document</w:t>
        </w:r>
      </w:hyperlink>
      <w:hyperlink r:id="rId23" w:history="1"/>
      <w:r w:rsidRPr="005B298C">
        <w:rPr>
          <w:rFonts w:cs="Arial"/>
        </w:rPr>
        <w:t>.</w:t>
      </w:r>
    </w:p>
    <w:p w14:paraId="297130FF" w14:textId="6D732FDC" w:rsidR="00DE18FD" w:rsidRPr="00003C92" w:rsidRDefault="00DE18FD" w:rsidP="00003C92">
      <w:pPr>
        <w:pBdr>
          <w:top w:val="single" w:sz="4" w:space="1" w:color="auto"/>
          <w:left w:val="single" w:sz="4" w:space="4" w:color="auto"/>
          <w:bottom w:val="single" w:sz="4" w:space="1" w:color="auto"/>
          <w:right w:val="single" w:sz="4" w:space="4" w:color="auto"/>
        </w:pBdr>
        <w:shd w:val="clear" w:color="auto" w:fill="F6C5AC" w:themeFill="accent2" w:themeFillTint="66"/>
        <w:spacing w:before="240"/>
        <w:rPr>
          <w:rFonts w:ascii="Century Gothic" w:hAnsi="Century Gothic" w:cs="Arial"/>
          <w:b/>
          <w:bCs/>
          <w:sz w:val="28"/>
          <w:szCs w:val="24"/>
        </w:rPr>
      </w:pPr>
      <w:r w:rsidRPr="00003C92">
        <w:rPr>
          <w:rFonts w:ascii="Century Gothic" w:hAnsi="Century Gothic" w:cs="Arial"/>
          <w:b/>
          <w:bCs/>
          <w:sz w:val="28"/>
          <w:szCs w:val="24"/>
        </w:rPr>
        <w:t>Rationale</w:t>
      </w:r>
    </w:p>
    <w:p w14:paraId="22652193" w14:textId="692EB370" w:rsidR="00DE18FD" w:rsidRPr="00F54948" w:rsidRDefault="00DE18FD" w:rsidP="00A349C0">
      <w:pPr>
        <w:pBdr>
          <w:top w:val="single" w:sz="4" w:space="1" w:color="auto"/>
          <w:left w:val="single" w:sz="4" w:space="4" w:color="auto"/>
          <w:bottom w:val="single" w:sz="4" w:space="1" w:color="auto"/>
          <w:right w:val="single" w:sz="4" w:space="4" w:color="auto"/>
        </w:pBdr>
        <w:shd w:val="clear" w:color="auto" w:fill="F6C5AC" w:themeFill="accent2" w:themeFillTint="66"/>
        <w:rPr>
          <w:rFonts w:cs="Arial"/>
        </w:rPr>
      </w:pPr>
      <w:r w:rsidRPr="00F54948">
        <w:rPr>
          <w:rFonts w:cs="Arial"/>
        </w:rPr>
        <w:t>The current system is not always nimble enough to address changes in people’s circumstances.</w:t>
      </w:r>
    </w:p>
    <w:p w14:paraId="4D52CEE4" w14:textId="2DDE3F35" w:rsidR="00A61140" w:rsidRDefault="00A61140" w:rsidP="007B71C8">
      <w:pPr>
        <w:rPr>
          <w:rFonts w:ascii="Calibri" w:hAnsi="Calibri" w:cs="Calibri"/>
        </w:rPr>
      </w:pPr>
    </w:p>
    <w:p w14:paraId="422B901F" w14:textId="77777777" w:rsidR="00A61140" w:rsidRDefault="00A61140">
      <w:pPr>
        <w:spacing w:line="259" w:lineRule="auto"/>
        <w:rPr>
          <w:rFonts w:ascii="Calibri" w:hAnsi="Calibri" w:cs="Calibri"/>
        </w:rPr>
      </w:pPr>
      <w:r>
        <w:rPr>
          <w:rFonts w:ascii="Calibri" w:hAnsi="Calibri" w:cs="Calibri"/>
        </w:rPr>
        <w:br w:type="page"/>
      </w:r>
    </w:p>
    <w:p w14:paraId="0B4E7073" w14:textId="4FEADE17" w:rsidR="003C046D" w:rsidRPr="00003C92" w:rsidRDefault="003C046D" w:rsidP="00AF263C">
      <w:pPr>
        <w:pStyle w:val="Heading2"/>
        <w:spacing w:before="120"/>
      </w:pPr>
      <w:bookmarkStart w:id="31" w:name="_Toc222222316"/>
      <w:bookmarkStart w:id="32" w:name="_Toc224203491"/>
      <w:bookmarkStart w:id="33" w:name="_Toc224203522"/>
      <w:r w:rsidRPr="00003C92">
        <w:lastRenderedPageBreak/>
        <w:t>Core Area Three: Ensure Sufficient Access,</w:t>
      </w:r>
      <w:r w:rsidR="001A2B56">
        <w:t xml:space="preserve"> </w:t>
      </w:r>
      <w:r w:rsidRPr="00003C92">
        <w:t>Capacity and Expertise to Deliver the System</w:t>
      </w:r>
      <w:bookmarkEnd w:id="31"/>
      <w:bookmarkEnd w:id="32"/>
      <w:bookmarkEnd w:id="33"/>
    </w:p>
    <w:p w14:paraId="5B3C9AFB" w14:textId="77777777" w:rsidR="003C046D" w:rsidRDefault="003C046D" w:rsidP="008F7341">
      <w:r w:rsidRPr="006E409D">
        <w:t>To give stronger tools and resources to those who deliver the insolvency regime, ensuring it can operate effectively in the modern Scottish economy.</w:t>
      </w:r>
    </w:p>
    <w:p w14:paraId="128E6E89" w14:textId="05C1D381" w:rsidR="004A429C" w:rsidRPr="00003C92" w:rsidRDefault="00D06B3A" w:rsidP="000A4D5D">
      <w:pPr>
        <w:pBdr>
          <w:top w:val="single" w:sz="4" w:space="1" w:color="auto"/>
          <w:left w:val="single" w:sz="4" w:space="4" w:color="auto"/>
          <w:bottom w:val="single" w:sz="4" w:space="1" w:color="auto"/>
          <w:right w:val="single" w:sz="4" w:space="4" w:color="auto"/>
        </w:pBdr>
        <w:shd w:val="clear" w:color="auto" w:fill="C1E4F5" w:themeFill="accent1" w:themeFillTint="33"/>
        <w:rPr>
          <w:rFonts w:ascii="Century Gothic" w:hAnsi="Century Gothic"/>
          <w:b/>
          <w:bCs/>
          <w:sz w:val="28"/>
          <w:szCs w:val="24"/>
        </w:rPr>
      </w:pPr>
      <w:r>
        <w:rPr>
          <w:rFonts w:ascii="Century Gothic" w:hAnsi="Century Gothic"/>
          <w:b/>
          <w:bCs/>
          <w:sz w:val="28"/>
          <w:szCs w:val="24"/>
        </w:rPr>
        <w:t>Core r</w:t>
      </w:r>
      <w:r w:rsidR="004A429C" w:rsidRPr="00003C92">
        <w:rPr>
          <w:rFonts w:ascii="Century Gothic" w:hAnsi="Century Gothic"/>
          <w:b/>
          <w:bCs/>
          <w:sz w:val="28"/>
          <w:szCs w:val="24"/>
        </w:rPr>
        <w:t>ecommendation</w:t>
      </w:r>
      <w:r w:rsidR="002B5FE4">
        <w:rPr>
          <w:rFonts w:ascii="Century Gothic" w:hAnsi="Century Gothic"/>
          <w:b/>
          <w:bCs/>
          <w:sz w:val="28"/>
          <w:szCs w:val="24"/>
        </w:rPr>
        <w:t xml:space="preserve"> </w:t>
      </w:r>
      <w:r w:rsidR="00ED4DAB">
        <w:rPr>
          <w:rFonts w:ascii="Century Gothic" w:hAnsi="Century Gothic"/>
          <w:b/>
          <w:bCs/>
          <w:sz w:val="28"/>
          <w:szCs w:val="24"/>
        </w:rPr>
        <w:t>3.</w:t>
      </w:r>
      <w:r w:rsidR="002B5FE4">
        <w:rPr>
          <w:rFonts w:ascii="Century Gothic" w:hAnsi="Century Gothic"/>
          <w:b/>
          <w:bCs/>
          <w:sz w:val="28"/>
          <w:szCs w:val="24"/>
        </w:rPr>
        <w:t>1</w:t>
      </w:r>
    </w:p>
    <w:p w14:paraId="6B5F0CB9" w14:textId="78328CAB" w:rsidR="004A429C" w:rsidRPr="006239D8" w:rsidRDefault="004A429C" w:rsidP="00CB7EEF">
      <w:pPr>
        <w:pBdr>
          <w:top w:val="single" w:sz="4" w:space="1" w:color="auto"/>
          <w:left w:val="single" w:sz="4" w:space="4" w:color="auto"/>
          <w:bottom w:val="single" w:sz="4" w:space="1" w:color="auto"/>
          <w:right w:val="single" w:sz="4" w:space="4" w:color="auto"/>
        </w:pBdr>
        <w:shd w:val="clear" w:color="auto" w:fill="C1E4F5" w:themeFill="accent1" w:themeFillTint="33"/>
        <w:rPr>
          <w:rFonts w:cs="Arial"/>
        </w:rPr>
      </w:pPr>
      <w:r w:rsidRPr="006239D8">
        <w:rPr>
          <w:rFonts w:cs="Arial"/>
        </w:rPr>
        <w:t>Scottish Government led working groups should be established with focus on:</w:t>
      </w:r>
    </w:p>
    <w:p w14:paraId="38781470" w14:textId="77777777" w:rsidR="004A429C" w:rsidRPr="00076CBD" w:rsidRDefault="004A429C" w:rsidP="00CB7EEF">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C1E4F5" w:themeFill="accent1" w:themeFillTint="33"/>
        <w:spacing w:after="0"/>
        <w:rPr>
          <w:rFonts w:cs="Arial"/>
        </w:rPr>
      </w:pPr>
      <w:r w:rsidRPr="00076CBD">
        <w:rPr>
          <w:rFonts w:cs="Arial"/>
        </w:rPr>
        <w:t>Establishing the number of advisers required to meet demand, and a plan to put them in place</w:t>
      </w:r>
    </w:p>
    <w:p w14:paraId="71B4D0A5" w14:textId="77777777" w:rsidR="004A429C" w:rsidRPr="00076CBD" w:rsidRDefault="004A429C" w:rsidP="00CB7EEF">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C1E4F5" w:themeFill="accent1" w:themeFillTint="33"/>
        <w:spacing w:after="0"/>
        <w:rPr>
          <w:rFonts w:cs="Arial"/>
        </w:rPr>
      </w:pPr>
      <w:r w:rsidRPr="00076CBD">
        <w:rPr>
          <w:rFonts w:cs="Arial"/>
        </w:rPr>
        <w:t>Considering how existing technology can be used to enhance services in the sector, and establishing a plan to put the technology in place</w:t>
      </w:r>
    </w:p>
    <w:p w14:paraId="40B5407A" w14:textId="77777777" w:rsidR="004A429C" w:rsidRPr="00076CBD" w:rsidRDefault="004A429C" w:rsidP="00CB7EEF">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C1E4F5" w:themeFill="accent1" w:themeFillTint="33"/>
        <w:rPr>
          <w:rFonts w:cs="Arial"/>
        </w:rPr>
      </w:pPr>
      <w:r w:rsidRPr="00076CBD">
        <w:rPr>
          <w:rFonts w:cs="Arial"/>
        </w:rPr>
        <w:t>Delivering and ensuring consistently good income maximisation provision when people seek advice</w:t>
      </w:r>
    </w:p>
    <w:p w14:paraId="256DD24D" w14:textId="508B3E91" w:rsidR="004A429C" w:rsidRPr="00003C92" w:rsidRDefault="004A429C" w:rsidP="009B201A">
      <w:pPr>
        <w:pBdr>
          <w:top w:val="single" w:sz="4" w:space="1" w:color="auto"/>
          <w:left w:val="single" w:sz="4" w:space="4" w:color="auto"/>
          <w:bottom w:val="single" w:sz="4" w:space="1" w:color="auto"/>
          <w:right w:val="single" w:sz="4" w:space="4" w:color="auto"/>
        </w:pBdr>
        <w:shd w:val="clear" w:color="auto" w:fill="83CAEB" w:themeFill="accent1" w:themeFillTint="66"/>
        <w:spacing w:before="160"/>
        <w:rPr>
          <w:rFonts w:ascii="Century Gothic" w:hAnsi="Century Gothic"/>
          <w:b/>
          <w:bCs/>
          <w:sz w:val="28"/>
          <w:szCs w:val="24"/>
        </w:rPr>
      </w:pPr>
      <w:r w:rsidRPr="00003C92">
        <w:rPr>
          <w:rFonts w:ascii="Century Gothic" w:hAnsi="Century Gothic"/>
          <w:b/>
          <w:bCs/>
          <w:sz w:val="28"/>
          <w:szCs w:val="24"/>
        </w:rPr>
        <w:t>Rationale</w:t>
      </w:r>
    </w:p>
    <w:p w14:paraId="44192771" w14:textId="57C53B25" w:rsidR="004A429C" w:rsidRPr="00BC5F99" w:rsidRDefault="004A429C" w:rsidP="00CB7EEF">
      <w:pPr>
        <w:pBdr>
          <w:top w:val="single" w:sz="4" w:space="1" w:color="auto"/>
          <w:left w:val="single" w:sz="4" w:space="4" w:color="auto"/>
          <w:bottom w:val="single" w:sz="4" w:space="1" w:color="auto"/>
          <w:right w:val="single" w:sz="4" w:space="4" w:color="auto"/>
        </w:pBdr>
        <w:shd w:val="clear" w:color="auto" w:fill="83CAEB" w:themeFill="accent1" w:themeFillTint="66"/>
        <w:rPr>
          <w:rFonts w:cs="Arial"/>
        </w:rPr>
      </w:pPr>
      <w:r w:rsidRPr="00BC5F99">
        <w:rPr>
          <w:rFonts w:cs="Arial"/>
        </w:rPr>
        <w:t>The insolvency regime cannot function without adequate services to deliver it. There is strong evidence of insufficient provision in the free-to-client sector and doubts over the ongoing sustainability and competitiveness of the commercial sector. Provision of advice and support for small business owners is particularly lacking.</w:t>
      </w:r>
    </w:p>
    <w:p w14:paraId="140AE103" w14:textId="77777777" w:rsidR="004A429C" w:rsidRPr="00BC5F99" w:rsidRDefault="004A429C" w:rsidP="00CB7EEF">
      <w:pPr>
        <w:pBdr>
          <w:top w:val="single" w:sz="4" w:space="1" w:color="auto"/>
          <w:left w:val="single" w:sz="4" w:space="4" w:color="auto"/>
          <w:bottom w:val="single" w:sz="4" w:space="1" w:color="auto"/>
          <w:right w:val="single" w:sz="4" w:space="4" w:color="auto"/>
        </w:pBdr>
        <w:shd w:val="clear" w:color="auto" w:fill="83CAEB" w:themeFill="accent1" w:themeFillTint="66"/>
        <w:rPr>
          <w:rFonts w:cs="Arial"/>
        </w:rPr>
      </w:pPr>
      <w:r w:rsidRPr="00BC5F99">
        <w:rPr>
          <w:rFonts w:cs="Arial"/>
        </w:rPr>
        <w:t>There are clear opportunities to use technology more across the debt advice sector overall including making ‘back-office’ processes more streamlined and greater use of digital advice for people who are digitally able. Relevant technology, such as automated case note software and Application Programming Interfaces (APIs) to avoid ‘double keying’ of information between systems, are already proven to work. If rolled out consistently and effectively across the sector, this will drive significant efficiencies.</w:t>
      </w:r>
    </w:p>
    <w:p w14:paraId="65B0A0E4" w14:textId="5BF9EC6A" w:rsidR="004A429C" w:rsidRDefault="004A429C" w:rsidP="00E20BA4">
      <w:pPr>
        <w:pBdr>
          <w:top w:val="single" w:sz="4" w:space="1" w:color="auto"/>
          <w:left w:val="single" w:sz="4" w:space="4" w:color="auto"/>
          <w:bottom w:val="single" w:sz="4" w:space="1" w:color="auto"/>
          <w:right w:val="single" w:sz="4" w:space="4" w:color="auto"/>
        </w:pBdr>
        <w:shd w:val="clear" w:color="auto" w:fill="83CAEB" w:themeFill="accent1" w:themeFillTint="66"/>
        <w:rPr>
          <w:rFonts w:cs="Arial"/>
        </w:rPr>
      </w:pPr>
      <w:r w:rsidRPr="00BC5F99">
        <w:rPr>
          <w:rFonts w:cs="Arial"/>
        </w:rPr>
        <w:t>It is currently a matter of chance whether people receive income maximisation support when getting advice, with huge variation in the depth of support offered. Income maximisation should be core within advice giving. This is particularly</w:t>
      </w:r>
      <w:r w:rsidR="009B201A">
        <w:rPr>
          <w:rFonts w:cs="Arial"/>
        </w:rPr>
        <w:t xml:space="preserve"> </w:t>
      </w:r>
      <w:r w:rsidRPr="00BC5F99">
        <w:rPr>
          <w:rFonts w:cs="Arial"/>
        </w:rPr>
        <w:t>important, and potentially impactful, given the high frequency of clients with deficit budgets.</w:t>
      </w:r>
    </w:p>
    <w:p w14:paraId="0DA7F4D8" w14:textId="77777777" w:rsidR="002A3205" w:rsidRPr="003A2634" w:rsidRDefault="002A3205" w:rsidP="003A2634">
      <w:pPr>
        <w:spacing w:after="0"/>
        <w:rPr>
          <w:rFonts w:cs="Arial"/>
          <w:b/>
          <w:bCs/>
        </w:rPr>
      </w:pPr>
    </w:p>
    <w:p w14:paraId="4B7AA5BE" w14:textId="429A6600" w:rsidR="004A429C" w:rsidRPr="00003C92" w:rsidRDefault="00D06B3A" w:rsidP="0001115A">
      <w:pPr>
        <w:pBdr>
          <w:top w:val="single" w:sz="4" w:space="1" w:color="auto"/>
          <w:left w:val="single" w:sz="4" w:space="4" w:color="auto"/>
          <w:bottom w:val="single" w:sz="4" w:space="1" w:color="auto"/>
          <w:right w:val="single" w:sz="4" w:space="4" w:color="auto"/>
        </w:pBdr>
        <w:shd w:val="clear" w:color="auto" w:fill="C1E4F5" w:themeFill="accent1" w:themeFillTint="33"/>
        <w:rPr>
          <w:rFonts w:ascii="Century Gothic" w:hAnsi="Century Gothic" w:cs="Arial"/>
          <w:b/>
          <w:bCs/>
          <w:sz w:val="28"/>
          <w:szCs w:val="24"/>
        </w:rPr>
      </w:pPr>
      <w:r>
        <w:rPr>
          <w:rFonts w:ascii="Century Gothic" w:hAnsi="Century Gothic" w:cs="Arial"/>
          <w:b/>
          <w:bCs/>
          <w:sz w:val="28"/>
          <w:szCs w:val="24"/>
        </w:rPr>
        <w:t>Core r</w:t>
      </w:r>
      <w:r w:rsidR="004A429C" w:rsidRPr="00003C92">
        <w:rPr>
          <w:rFonts w:ascii="Century Gothic" w:hAnsi="Century Gothic" w:cs="Arial"/>
          <w:b/>
          <w:bCs/>
          <w:sz w:val="28"/>
          <w:szCs w:val="24"/>
        </w:rPr>
        <w:t>ecommendation</w:t>
      </w:r>
      <w:r w:rsidR="002B5FE4">
        <w:rPr>
          <w:rFonts w:ascii="Century Gothic" w:hAnsi="Century Gothic" w:cs="Arial"/>
          <w:b/>
          <w:bCs/>
          <w:sz w:val="28"/>
          <w:szCs w:val="24"/>
        </w:rPr>
        <w:t xml:space="preserve"> </w:t>
      </w:r>
      <w:r w:rsidR="00ED4DAB">
        <w:rPr>
          <w:rFonts w:ascii="Century Gothic" w:hAnsi="Century Gothic" w:cs="Arial"/>
          <w:b/>
          <w:bCs/>
          <w:sz w:val="28"/>
          <w:szCs w:val="24"/>
        </w:rPr>
        <w:t>3.</w:t>
      </w:r>
      <w:r w:rsidR="002B5FE4">
        <w:rPr>
          <w:rFonts w:ascii="Century Gothic" w:hAnsi="Century Gothic" w:cs="Arial"/>
          <w:b/>
          <w:bCs/>
          <w:sz w:val="28"/>
          <w:szCs w:val="24"/>
        </w:rPr>
        <w:t>2</w:t>
      </w:r>
    </w:p>
    <w:p w14:paraId="3620770A" w14:textId="377C3C56" w:rsidR="004A429C" w:rsidRDefault="004A429C" w:rsidP="00CB7EEF">
      <w:pPr>
        <w:pBdr>
          <w:top w:val="single" w:sz="4" w:space="1" w:color="auto"/>
          <w:left w:val="single" w:sz="4" w:space="4" w:color="auto"/>
          <w:bottom w:val="single" w:sz="4" w:space="1" w:color="auto"/>
          <w:right w:val="single" w:sz="4" w:space="4" w:color="auto"/>
        </w:pBdr>
        <w:shd w:val="clear" w:color="auto" w:fill="C1E4F5" w:themeFill="accent1" w:themeFillTint="33"/>
        <w:rPr>
          <w:rFonts w:cs="Arial"/>
        </w:rPr>
      </w:pPr>
      <w:r w:rsidRPr="00E7524A">
        <w:rPr>
          <w:rFonts w:cs="Arial"/>
        </w:rPr>
        <w:t>Scottish Government should work with the UK Government to deliver amendments to the existing debt advice levy to bring additional creditor sectors into scope. This change could enable significant additional funding to be generated for the system, without overburdening existing funders.</w:t>
      </w:r>
    </w:p>
    <w:p w14:paraId="07A12E21" w14:textId="6EE35765" w:rsidR="004A429C" w:rsidRPr="00003C92" w:rsidRDefault="004A429C" w:rsidP="00003C92">
      <w:pPr>
        <w:pBdr>
          <w:top w:val="single" w:sz="4" w:space="1" w:color="auto"/>
          <w:left w:val="single" w:sz="4" w:space="4" w:color="auto"/>
          <w:bottom w:val="single" w:sz="4" w:space="1" w:color="auto"/>
          <w:right w:val="single" w:sz="4" w:space="4" w:color="auto"/>
        </w:pBdr>
        <w:shd w:val="clear" w:color="auto" w:fill="83CAEB" w:themeFill="accent1" w:themeFillTint="66"/>
        <w:spacing w:before="240"/>
        <w:rPr>
          <w:rFonts w:ascii="Century Gothic" w:hAnsi="Century Gothic" w:cs="Arial"/>
          <w:b/>
          <w:bCs/>
          <w:sz w:val="28"/>
          <w:szCs w:val="24"/>
        </w:rPr>
      </w:pPr>
      <w:r w:rsidRPr="00003C92">
        <w:rPr>
          <w:rFonts w:ascii="Century Gothic" w:hAnsi="Century Gothic" w:cs="Arial"/>
          <w:b/>
          <w:bCs/>
          <w:sz w:val="28"/>
          <w:szCs w:val="24"/>
        </w:rPr>
        <w:t>Rationale</w:t>
      </w:r>
    </w:p>
    <w:p w14:paraId="71E5EF3E" w14:textId="34238C74" w:rsidR="004A429C" w:rsidRDefault="004A429C" w:rsidP="003A2634">
      <w:pPr>
        <w:pBdr>
          <w:top w:val="single" w:sz="4" w:space="1" w:color="auto"/>
          <w:left w:val="single" w:sz="4" w:space="4" w:color="auto"/>
          <w:bottom w:val="single" w:sz="4" w:space="1" w:color="auto"/>
          <w:right w:val="single" w:sz="4" w:space="4" w:color="auto"/>
        </w:pBdr>
        <w:shd w:val="clear" w:color="auto" w:fill="83CAEB" w:themeFill="accent1" w:themeFillTint="66"/>
        <w:spacing w:after="0"/>
        <w:rPr>
          <w:rFonts w:cs="Arial"/>
        </w:rPr>
      </w:pPr>
      <w:r w:rsidRPr="006B2454">
        <w:rPr>
          <w:rFonts w:cs="Arial"/>
        </w:rPr>
        <w:t>The statutory levy is a reliable way to fund greater provision to enable the system. The make-up of people’s creditors has shifted markedly since the levy was established, making a strong case for expanding the number of creditors required to contribute.</w:t>
      </w:r>
    </w:p>
    <w:p w14:paraId="3922D47D" w14:textId="77777777" w:rsidR="002A3205" w:rsidRDefault="002A3205" w:rsidP="003A2634">
      <w:pPr>
        <w:spacing w:after="0"/>
        <w:rPr>
          <w:rFonts w:cs="Arial"/>
        </w:rPr>
      </w:pPr>
    </w:p>
    <w:p w14:paraId="5DCB9808" w14:textId="3A426D05" w:rsidR="004A429C" w:rsidRPr="00003C92" w:rsidRDefault="00D06B3A" w:rsidP="0001115A">
      <w:pPr>
        <w:pBdr>
          <w:top w:val="single" w:sz="4" w:space="1" w:color="auto"/>
          <w:left w:val="single" w:sz="4" w:space="4" w:color="auto"/>
          <w:bottom w:val="single" w:sz="4" w:space="1" w:color="auto"/>
          <w:right w:val="single" w:sz="4" w:space="4" w:color="auto"/>
        </w:pBdr>
        <w:shd w:val="clear" w:color="auto" w:fill="C1E4F5" w:themeFill="accent1" w:themeFillTint="33"/>
        <w:spacing w:before="160"/>
        <w:rPr>
          <w:rFonts w:ascii="Century Gothic" w:hAnsi="Century Gothic" w:cs="Arial"/>
          <w:b/>
          <w:bCs/>
          <w:sz w:val="28"/>
          <w:szCs w:val="24"/>
        </w:rPr>
      </w:pPr>
      <w:r>
        <w:rPr>
          <w:rFonts w:ascii="Century Gothic" w:hAnsi="Century Gothic" w:cs="Arial"/>
          <w:b/>
          <w:bCs/>
          <w:sz w:val="28"/>
          <w:szCs w:val="24"/>
        </w:rPr>
        <w:t>Core r</w:t>
      </w:r>
      <w:r w:rsidR="00076CBD" w:rsidRPr="00003C92">
        <w:rPr>
          <w:rFonts w:ascii="Century Gothic" w:hAnsi="Century Gothic" w:cs="Arial"/>
          <w:b/>
          <w:bCs/>
          <w:sz w:val="28"/>
          <w:szCs w:val="24"/>
        </w:rPr>
        <w:t>ecommendation</w:t>
      </w:r>
      <w:r w:rsidR="002B5FE4">
        <w:rPr>
          <w:rFonts w:ascii="Century Gothic" w:hAnsi="Century Gothic" w:cs="Arial"/>
          <w:b/>
          <w:bCs/>
          <w:sz w:val="28"/>
          <w:szCs w:val="24"/>
        </w:rPr>
        <w:t xml:space="preserve"> </w:t>
      </w:r>
      <w:r w:rsidR="00ED4DAB">
        <w:rPr>
          <w:rFonts w:ascii="Century Gothic" w:hAnsi="Century Gothic" w:cs="Arial"/>
          <w:b/>
          <w:bCs/>
          <w:sz w:val="28"/>
          <w:szCs w:val="24"/>
        </w:rPr>
        <w:t>3.</w:t>
      </w:r>
      <w:r w:rsidR="002B5FE4">
        <w:rPr>
          <w:rFonts w:ascii="Century Gothic" w:hAnsi="Century Gothic" w:cs="Arial"/>
          <w:b/>
          <w:bCs/>
          <w:sz w:val="28"/>
          <w:szCs w:val="24"/>
        </w:rPr>
        <w:t>3</w:t>
      </w:r>
    </w:p>
    <w:p w14:paraId="3F40BE2F" w14:textId="13FB4C72" w:rsidR="00076CBD" w:rsidRDefault="00076CBD" w:rsidP="00CB7EEF">
      <w:pPr>
        <w:pBdr>
          <w:top w:val="single" w:sz="4" w:space="1" w:color="auto"/>
          <w:left w:val="single" w:sz="4" w:space="4" w:color="auto"/>
          <w:bottom w:val="single" w:sz="4" w:space="1" w:color="auto"/>
          <w:right w:val="single" w:sz="4" w:space="4" w:color="auto"/>
        </w:pBdr>
        <w:shd w:val="clear" w:color="auto" w:fill="C1E4F5" w:themeFill="accent1" w:themeFillTint="33"/>
        <w:rPr>
          <w:rFonts w:cs="Arial"/>
        </w:rPr>
      </w:pPr>
      <w:r w:rsidRPr="00F614F7">
        <w:rPr>
          <w:rFonts w:cs="Arial"/>
        </w:rPr>
        <w:t>Increased partnership working between the ‘free’ and commercial sectors should be enabled, including more forums for the two sectors to liaise, identify partnership opportunities and share good practice. Specifically, Scottish Government should introduce an initiative to support new Insolvency Practitioners (IPs) being trained within the charitable sector, with support and mentorship from the commercial sector.</w:t>
      </w:r>
    </w:p>
    <w:p w14:paraId="615C4B2F" w14:textId="4FBD8357" w:rsidR="00076CBD" w:rsidRPr="00003C92" w:rsidRDefault="00076CBD" w:rsidP="00003C92">
      <w:pPr>
        <w:pBdr>
          <w:top w:val="single" w:sz="4" w:space="1" w:color="auto"/>
          <w:left w:val="single" w:sz="4" w:space="4" w:color="auto"/>
          <w:bottom w:val="single" w:sz="4" w:space="1" w:color="auto"/>
          <w:right w:val="single" w:sz="4" w:space="4" w:color="auto"/>
        </w:pBdr>
        <w:shd w:val="clear" w:color="auto" w:fill="83CAEB" w:themeFill="accent1" w:themeFillTint="66"/>
        <w:spacing w:before="240"/>
        <w:rPr>
          <w:rFonts w:ascii="Century Gothic" w:hAnsi="Century Gothic" w:cs="Arial"/>
          <w:b/>
          <w:bCs/>
          <w:sz w:val="28"/>
          <w:szCs w:val="24"/>
        </w:rPr>
      </w:pPr>
      <w:r w:rsidRPr="00003C92">
        <w:rPr>
          <w:rFonts w:ascii="Century Gothic" w:hAnsi="Century Gothic" w:cs="Arial"/>
          <w:b/>
          <w:bCs/>
          <w:sz w:val="28"/>
          <w:szCs w:val="24"/>
        </w:rPr>
        <w:t>Rationale</w:t>
      </w:r>
    </w:p>
    <w:p w14:paraId="0C168BF9" w14:textId="2AB06A23" w:rsidR="00076CBD" w:rsidRDefault="00076CBD" w:rsidP="00CB7EEF">
      <w:pPr>
        <w:pBdr>
          <w:top w:val="single" w:sz="4" w:space="1" w:color="auto"/>
          <w:left w:val="single" w:sz="4" w:space="4" w:color="auto"/>
          <w:bottom w:val="single" w:sz="4" w:space="1" w:color="auto"/>
          <w:right w:val="single" w:sz="4" w:space="4" w:color="auto"/>
        </w:pBdr>
        <w:shd w:val="clear" w:color="auto" w:fill="83CAEB" w:themeFill="accent1" w:themeFillTint="66"/>
        <w:rPr>
          <w:rFonts w:cs="Arial"/>
        </w:rPr>
      </w:pPr>
      <w:r w:rsidRPr="00665728">
        <w:rPr>
          <w:rFonts w:cs="Arial"/>
        </w:rPr>
        <w:t>Relationships between the free and commercial sector are poor in the main, resulting in missed opportunities for enhancing provision. Meanwhile the number of IPs is in decline, with few new entrants to the profession. Training new IPs in the free sector offers career development opportunities, should bring greater free sector involvement in repayment solutions and provides commercial firms with a larger pool to recruit from.</w:t>
      </w:r>
    </w:p>
    <w:p w14:paraId="5CC160B3" w14:textId="54988503" w:rsidR="00C34215" w:rsidRDefault="00C34215">
      <w:pPr>
        <w:spacing w:line="259" w:lineRule="auto"/>
        <w:rPr>
          <w:rFonts w:cs="Arial"/>
        </w:rPr>
      </w:pPr>
      <w:r>
        <w:rPr>
          <w:rFonts w:cs="Arial"/>
        </w:rPr>
        <w:br w:type="page"/>
      </w:r>
    </w:p>
    <w:p w14:paraId="5406C7FC" w14:textId="0CCC86F8" w:rsidR="00076CBD" w:rsidRPr="00003C92" w:rsidRDefault="00D06B3A" w:rsidP="0001115A">
      <w:pPr>
        <w:pBdr>
          <w:top w:val="single" w:sz="4" w:space="1" w:color="auto"/>
          <w:left w:val="single" w:sz="4" w:space="4" w:color="auto"/>
          <w:bottom w:val="single" w:sz="4" w:space="1" w:color="auto"/>
          <w:right w:val="single" w:sz="4" w:space="4" w:color="auto"/>
        </w:pBdr>
        <w:shd w:val="clear" w:color="auto" w:fill="C1E4F5" w:themeFill="accent1" w:themeFillTint="33"/>
        <w:rPr>
          <w:rFonts w:ascii="Century Gothic" w:hAnsi="Century Gothic" w:cs="Arial"/>
          <w:b/>
          <w:bCs/>
          <w:sz w:val="28"/>
          <w:szCs w:val="24"/>
        </w:rPr>
      </w:pPr>
      <w:r>
        <w:rPr>
          <w:rFonts w:ascii="Century Gothic" w:hAnsi="Century Gothic" w:cs="Arial"/>
          <w:b/>
          <w:bCs/>
          <w:sz w:val="28"/>
          <w:szCs w:val="24"/>
        </w:rPr>
        <w:lastRenderedPageBreak/>
        <w:t>Core r</w:t>
      </w:r>
      <w:r w:rsidR="00076CBD" w:rsidRPr="00003C92">
        <w:rPr>
          <w:rFonts w:ascii="Century Gothic" w:hAnsi="Century Gothic" w:cs="Arial"/>
          <w:b/>
          <w:bCs/>
          <w:sz w:val="28"/>
          <w:szCs w:val="24"/>
        </w:rPr>
        <w:t>ecommendation</w:t>
      </w:r>
      <w:r w:rsidR="002B5FE4">
        <w:rPr>
          <w:rFonts w:ascii="Century Gothic" w:hAnsi="Century Gothic" w:cs="Arial"/>
          <w:b/>
          <w:bCs/>
          <w:sz w:val="28"/>
          <w:szCs w:val="24"/>
        </w:rPr>
        <w:t xml:space="preserve"> </w:t>
      </w:r>
      <w:r w:rsidR="00ED4DAB">
        <w:rPr>
          <w:rFonts w:ascii="Century Gothic" w:hAnsi="Century Gothic" w:cs="Arial"/>
          <w:b/>
          <w:bCs/>
          <w:sz w:val="28"/>
          <w:szCs w:val="24"/>
        </w:rPr>
        <w:t>3.</w:t>
      </w:r>
      <w:r w:rsidR="002B5FE4">
        <w:rPr>
          <w:rFonts w:ascii="Century Gothic" w:hAnsi="Century Gothic" w:cs="Arial"/>
          <w:b/>
          <w:bCs/>
          <w:sz w:val="28"/>
          <w:szCs w:val="24"/>
        </w:rPr>
        <w:t>4</w:t>
      </w:r>
    </w:p>
    <w:p w14:paraId="09A0A575" w14:textId="762D0C3C" w:rsidR="00076CBD" w:rsidRDefault="00076CBD" w:rsidP="00CB7EEF">
      <w:pPr>
        <w:pBdr>
          <w:top w:val="single" w:sz="4" w:space="1" w:color="auto"/>
          <w:left w:val="single" w:sz="4" w:space="4" w:color="auto"/>
          <w:bottom w:val="single" w:sz="4" w:space="1" w:color="auto"/>
          <w:right w:val="single" w:sz="4" w:space="4" w:color="auto"/>
        </w:pBdr>
        <w:shd w:val="clear" w:color="auto" w:fill="C1E4F5" w:themeFill="accent1" w:themeFillTint="33"/>
        <w:rPr>
          <w:rFonts w:cs="Arial"/>
        </w:rPr>
      </w:pPr>
      <w:r w:rsidRPr="00872279">
        <w:rPr>
          <w:rFonts w:cs="Arial"/>
        </w:rPr>
        <w:t>Scottish Government should make it mandatory that people have received independent debt advice prior to being able to enter any formal insolvency solution. This should be advice provided by a FCA authorised provider, or one otherwise exempted from FCA regulation by law. The Scottish Government should require that the advice provided has all available solutions in scope of it, so people in debt are fully informed on the best possible solution(s) available to them.</w:t>
      </w:r>
    </w:p>
    <w:p w14:paraId="54737E59" w14:textId="6D76752E" w:rsidR="00076CBD" w:rsidRPr="00003C92" w:rsidRDefault="00076CBD" w:rsidP="00003C92">
      <w:pPr>
        <w:pBdr>
          <w:top w:val="single" w:sz="4" w:space="1" w:color="auto"/>
          <w:left w:val="single" w:sz="4" w:space="4" w:color="auto"/>
          <w:bottom w:val="single" w:sz="4" w:space="1" w:color="auto"/>
          <w:right w:val="single" w:sz="4" w:space="4" w:color="auto"/>
        </w:pBdr>
        <w:shd w:val="clear" w:color="auto" w:fill="83CAEB" w:themeFill="accent1" w:themeFillTint="66"/>
        <w:spacing w:before="240"/>
        <w:rPr>
          <w:rFonts w:ascii="Century Gothic" w:hAnsi="Century Gothic" w:cs="Arial"/>
          <w:b/>
          <w:bCs/>
          <w:sz w:val="28"/>
          <w:szCs w:val="24"/>
        </w:rPr>
      </w:pPr>
      <w:r w:rsidRPr="00003C92">
        <w:rPr>
          <w:rFonts w:ascii="Century Gothic" w:hAnsi="Century Gothic" w:cs="Arial"/>
          <w:b/>
          <w:bCs/>
          <w:sz w:val="28"/>
          <w:szCs w:val="24"/>
        </w:rPr>
        <w:t>Rationale</w:t>
      </w:r>
    </w:p>
    <w:p w14:paraId="16BE7285" w14:textId="393B423F" w:rsidR="00076CBD" w:rsidRDefault="00076CBD" w:rsidP="00CB7EEF">
      <w:pPr>
        <w:pBdr>
          <w:top w:val="single" w:sz="4" w:space="1" w:color="auto"/>
          <w:left w:val="single" w:sz="4" w:space="4" w:color="auto"/>
          <w:bottom w:val="single" w:sz="4" w:space="1" w:color="auto"/>
          <w:right w:val="single" w:sz="4" w:space="4" w:color="auto"/>
        </w:pBdr>
        <w:shd w:val="clear" w:color="auto" w:fill="83CAEB" w:themeFill="accent1" w:themeFillTint="66"/>
        <w:rPr>
          <w:rFonts w:cs="Arial"/>
        </w:rPr>
      </w:pPr>
      <w:r w:rsidRPr="001D3704">
        <w:rPr>
          <w:rFonts w:cs="Arial"/>
        </w:rPr>
        <w:t xml:space="preserve">Entering an insolvency solution is a vital life decision, with significant and markedly different consequences for people based on the </w:t>
      </w:r>
      <w:proofErr w:type="gramStart"/>
      <w:r w:rsidRPr="001D3704">
        <w:rPr>
          <w:rFonts w:cs="Arial"/>
        </w:rPr>
        <w:t>particular solution</w:t>
      </w:r>
      <w:proofErr w:type="gramEnd"/>
      <w:r w:rsidRPr="001D3704">
        <w:rPr>
          <w:rFonts w:cs="Arial"/>
        </w:rPr>
        <w:t xml:space="preserve"> they enter. Therefore, receiving impartial advice, covering all solutions, supports people in making well informed decisions. We received conflicting views in the review about how widespread the issue is of advice being given only covering a narrow set of solutions, however introducing this rule mitigates any perceived or actual issues.</w:t>
      </w:r>
    </w:p>
    <w:p w14:paraId="5B16BD6D" w14:textId="7B60F3C5" w:rsidR="00855502" w:rsidRDefault="00855502">
      <w:pPr>
        <w:spacing w:line="259" w:lineRule="auto"/>
      </w:pPr>
      <w:r>
        <w:br w:type="page"/>
      </w:r>
    </w:p>
    <w:p w14:paraId="171A7FF7" w14:textId="0F4414D6" w:rsidR="00076F70" w:rsidRPr="00003C92" w:rsidRDefault="00076F70" w:rsidP="00003C92">
      <w:pPr>
        <w:pStyle w:val="Heading2"/>
      </w:pPr>
      <w:bookmarkStart w:id="34" w:name="_Toc222222317"/>
      <w:bookmarkStart w:id="35" w:name="_Toc224203492"/>
      <w:bookmarkStart w:id="36" w:name="_Toc224203523"/>
      <w:r w:rsidRPr="00003C92">
        <w:lastRenderedPageBreak/>
        <w:t>Core Area Four: Better Serving the Self Employed and Small Business in the Insolvency Regime</w:t>
      </w:r>
      <w:bookmarkEnd w:id="34"/>
      <w:bookmarkEnd w:id="35"/>
      <w:bookmarkEnd w:id="36"/>
    </w:p>
    <w:p w14:paraId="6EABF03C" w14:textId="7D53BE01" w:rsidR="00076F70" w:rsidRDefault="00076F70" w:rsidP="00003C92">
      <w:r w:rsidRPr="006E409D">
        <w:t>To support and empower a vital driving force of the modern Scottish society and its economy, by plugging a significant key gap in the current regime.</w:t>
      </w:r>
    </w:p>
    <w:p w14:paraId="2D07CE58" w14:textId="6949296F" w:rsidR="00855502" w:rsidRPr="00003C92" w:rsidRDefault="00D06B3A" w:rsidP="0001115A">
      <w:pPr>
        <w:pBdr>
          <w:top w:val="single" w:sz="4" w:space="1" w:color="auto"/>
          <w:left w:val="single" w:sz="4" w:space="4" w:color="auto"/>
          <w:bottom w:val="single" w:sz="4" w:space="1" w:color="auto"/>
          <w:right w:val="single" w:sz="4" w:space="4" w:color="auto"/>
        </w:pBdr>
        <w:shd w:val="clear" w:color="auto" w:fill="F2CEED" w:themeFill="accent5" w:themeFillTint="33"/>
        <w:spacing w:before="160"/>
        <w:rPr>
          <w:rFonts w:ascii="Century Gothic" w:hAnsi="Century Gothic"/>
          <w:b/>
          <w:bCs/>
          <w:sz w:val="28"/>
          <w:szCs w:val="24"/>
        </w:rPr>
      </w:pPr>
      <w:r>
        <w:rPr>
          <w:rFonts w:ascii="Century Gothic" w:hAnsi="Century Gothic"/>
          <w:b/>
          <w:bCs/>
          <w:sz w:val="28"/>
          <w:szCs w:val="24"/>
        </w:rPr>
        <w:t>Core r</w:t>
      </w:r>
      <w:r w:rsidR="00855502" w:rsidRPr="00003C92">
        <w:rPr>
          <w:rFonts w:ascii="Century Gothic" w:hAnsi="Century Gothic"/>
          <w:b/>
          <w:bCs/>
          <w:sz w:val="28"/>
          <w:szCs w:val="24"/>
        </w:rPr>
        <w:t>ecommendation</w:t>
      </w:r>
      <w:r w:rsidR="002B5FE4">
        <w:rPr>
          <w:rFonts w:ascii="Century Gothic" w:hAnsi="Century Gothic"/>
          <w:b/>
          <w:bCs/>
          <w:sz w:val="28"/>
          <w:szCs w:val="24"/>
        </w:rPr>
        <w:t xml:space="preserve"> </w:t>
      </w:r>
      <w:r w:rsidR="00ED4DAB">
        <w:rPr>
          <w:rFonts w:ascii="Century Gothic" w:hAnsi="Century Gothic"/>
          <w:b/>
          <w:bCs/>
          <w:sz w:val="28"/>
          <w:szCs w:val="24"/>
        </w:rPr>
        <w:t>4.</w:t>
      </w:r>
      <w:r w:rsidR="002B5FE4">
        <w:rPr>
          <w:rFonts w:ascii="Century Gothic" w:hAnsi="Century Gothic"/>
          <w:b/>
          <w:bCs/>
          <w:sz w:val="28"/>
          <w:szCs w:val="24"/>
        </w:rPr>
        <w:t>1</w:t>
      </w:r>
    </w:p>
    <w:p w14:paraId="30061A72" w14:textId="2FB4D747" w:rsidR="00855502" w:rsidRPr="0000127C" w:rsidRDefault="00855502" w:rsidP="009307BB">
      <w:pPr>
        <w:pBdr>
          <w:top w:val="single" w:sz="4" w:space="1" w:color="auto"/>
          <w:left w:val="single" w:sz="4" w:space="4" w:color="auto"/>
          <w:bottom w:val="single" w:sz="4" w:space="1" w:color="auto"/>
          <w:right w:val="single" w:sz="4" w:space="4" w:color="auto"/>
        </w:pBdr>
        <w:shd w:val="clear" w:color="auto" w:fill="F2CEED" w:themeFill="accent5" w:themeFillTint="33"/>
        <w:rPr>
          <w:rFonts w:cs="Arial"/>
        </w:rPr>
      </w:pPr>
      <w:r w:rsidRPr="0000127C">
        <w:rPr>
          <w:rFonts w:cs="Arial"/>
        </w:rPr>
        <w:t>New or amended insolvency solution(s) for self-employed people / small businesses should be developed with the following features:</w:t>
      </w:r>
    </w:p>
    <w:p w14:paraId="75315855" w14:textId="47B3811B" w:rsidR="00855502" w:rsidRPr="00350F79" w:rsidRDefault="00855502" w:rsidP="004C183D">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F2CEED" w:themeFill="accent5" w:themeFillTint="33"/>
        <w:spacing w:after="0"/>
        <w:rPr>
          <w:rFonts w:cs="Arial"/>
        </w:rPr>
      </w:pPr>
      <w:r w:rsidRPr="00350F79">
        <w:rPr>
          <w:rFonts w:cs="Arial"/>
        </w:rPr>
        <w:t>An ability for businesses to continue trading when they are fundamentally still viable</w:t>
      </w:r>
    </w:p>
    <w:p w14:paraId="0116BBAE" w14:textId="4C6CB922" w:rsidR="00855502" w:rsidRPr="00350F79" w:rsidRDefault="00855502" w:rsidP="004C183D">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F2CEED" w:themeFill="accent5" w:themeFillTint="33"/>
        <w:spacing w:after="0"/>
        <w:rPr>
          <w:rFonts w:cs="Arial"/>
        </w:rPr>
      </w:pPr>
      <w:r w:rsidRPr="00350F79">
        <w:rPr>
          <w:rFonts w:cs="Arial"/>
        </w:rPr>
        <w:t>Flexible debt repayments</w:t>
      </w:r>
    </w:p>
    <w:p w14:paraId="602AACFE" w14:textId="02071C68" w:rsidR="00855502" w:rsidRPr="00350F79" w:rsidRDefault="00855502" w:rsidP="004C183D">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F2CEED" w:themeFill="accent5" w:themeFillTint="33"/>
        <w:spacing w:after="0"/>
        <w:rPr>
          <w:rFonts w:cs="Arial"/>
        </w:rPr>
      </w:pPr>
      <w:r w:rsidRPr="00350F79">
        <w:rPr>
          <w:rFonts w:cs="Arial"/>
        </w:rPr>
        <w:t xml:space="preserve">Debt </w:t>
      </w:r>
      <w:proofErr w:type="gramStart"/>
      <w:r w:rsidRPr="00350F79">
        <w:rPr>
          <w:rFonts w:cs="Arial"/>
        </w:rPr>
        <w:t>write</w:t>
      </w:r>
      <w:proofErr w:type="gramEnd"/>
      <w:r w:rsidRPr="00350F79">
        <w:rPr>
          <w:rFonts w:cs="Arial"/>
        </w:rPr>
        <w:t xml:space="preserve"> off (where appropriate)</w:t>
      </w:r>
    </w:p>
    <w:p w14:paraId="603B819C" w14:textId="65D96718" w:rsidR="00855502" w:rsidRPr="00350F79" w:rsidRDefault="00855502" w:rsidP="00E662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F2CEED" w:themeFill="accent5" w:themeFillTint="33"/>
        <w:rPr>
          <w:rFonts w:cs="Arial"/>
        </w:rPr>
      </w:pPr>
      <w:r w:rsidRPr="00350F79">
        <w:rPr>
          <w:rFonts w:cs="Arial"/>
        </w:rPr>
        <w:t>Continued access to credit</w:t>
      </w:r>
    </w:p>
    <w:p w14:paraId="27B19E82" w14:textId="1879B3B2" w:rsidR="00855502" w:rsidRDefault="00855502" w:rsidP="009307BB">
      <w:pPr>
        <w:pBdr>
          <w:top w:val="single" w:sz="4" w:space="1" w:color="auto"/>
          <w:left w:val="single" w:sz="4" w:space="4" w:color="auto"/>
          <w:bottom w:val="single" w:sz="4" w:space="1" w:color="auto"/>
          <w:right w:val="single" w:sz="4" w:space="4" w:color="auto"/>
        </w:pBdr>
        <w:shd w:val="clear" w:color="auto" w:fill="F2CEED" w:themeFill="accent5" w:themeFillTint="33"/>
        <w:rPr>
          <w:rFonts w:cs="Arial"/>
        </w:rPr>
      </w:pPr>
      <w:r w:rsidRPr="0000127C">
        <w:rPr>
          <w:rFonts w:cs="Arial"/>
        </w:rPr>
        <w:t>Scottish Government should work with small business owners, debt advice agencies, insolvency practitioners, Business Gateway, Scottish Enterprise, accountants, business bank account providers and other interested parties in its design and implementation.</w:t>
      </w:r>
    </w:p>
    <w:p w14:paraId="3AF751F6" w14:textId="1A8E126E" w:rsidR="00091D63" w:rsidRPr="00003C92" w:rsidRDefault="00091D63" w:rsidP="00091D63">
      <w:pPr>
        <w:pBdr>
          <w:top w:val="single" w:sz="4" w:space="1" w:color="auto"/>
          <w:left w:val="single" w:sz="4" w:space="4" w:color="auto"/>
          <w:bottom w:val="single" w:sz="4" w:space="1" w:color="auto"/>
          <w:right w:val="single" w:sz="4" w:space="4" w:color="auto"/>
        </w:pBdr>
        <w:shd w:val="clear" w:color="auto" w:fill="F2CEED" w:themeFill="accent5" w:themeFillTint="33"/>
        <w:spacing w:before="160"/>
        <w:rPr>
          <w:rFonts w:ascii="Century Gothic" w:hAnsi="Century Gothic" w:cs="Arial"/>
          <w:b/>
          <w:bCs/>
          <w:sz w:val="28"/>
          <w:szCs w:val="24"/>
        </w:rPr>
      </w:pPr>
      <w:r>
        <w:rPr>
          <w:rFonts w:ascii="Century Gothic" w:hAnsi="Century Gothic" w:cs="Arial"/>
          <w:b/>
          <w:bCs/>
          <w:sz w:val="28"/>
          <w:szCs w:val="24"/>
        </w:rPr>
        <w:t>Core r</w:t>
      </w:r>
      <w:r w:rsidRPr="00003C92">
        <w:rPr>
          <w:rFonts w:ascii="Century Gothic" w:hAnsi="Century Gothic" w:cs="Arial"/>
          <w:b/>
          <w:bCs/>
          <w:sz w:val="28"/>
          <w:szCs w:val="24"/>
        </w:rPr>
        <w:t>ecommendation</w:t>
      </w:r>
      <w:r>
        <w:rPr>
          <w:rFonts w:ascii="Century Gothic" w:hAnsi="Century Gothic" w:cs="Arial"/>
          <w:b/>
          <w:bCs/>
          <w:sz w:val="28"/>
          <w:szCs w:val="24"/>
        </w:rPr>
        <w:t xml:space="preserve"> </w:t>
      </w:r>
      <w:r w:rsidR="00ED4DAB">
        <w:rPr>
          <w:rFonts w:ascii="Century Gothic" w:hAnsi="Century Gothic" w:cs="Arial"/>
          <w:b/>
          <w:bCs/>
          <w:sz w:val="28"/>
          <w:szCs w:val="24"/>
        </w:rPr>
        <w:t>4.</w:t>
      </w:r>
      <w:r>
        <w:rPr>
          <w:rFonts w:ascii="Century Gothic" w:hAnsi="Century Gothic" w:cs="Arial"/>
          <w:b/>
          <w:bCs/>
          <w:sz w:val="28"/>
          <w:szCs w:val="24"/>
        </w:rPr>
        <w:t>2</w:t>
      </w:r>
    </w:p>
    <w:p w14:paraId="41638D02" w14:textId="2F47B496" w:rsidR="00091D63" w:rsidRDefault="00091D63" w:rsidP="009307BB">
      <w:pPr>
        <w:pBdr>
          <w:top w:val="single" w:sz="4" w:space="1" w:color="auto"/>
          <w:left w:val="single" w:sz="4" w:space="4" w:color="auto"/>
          <w:bottom w:val="single" w:sz="4" w:space="1" w:color="auto"/>
          <w:right w:val="single" w:sz="4" w:space="4" w:color="auto"/>
        </w:pBdr>
        <w:shd w:val="clear" w:color="auto" w:fill="F2CEED" w:themeFill="accent5" w:themeFillTint="33"/>
        <w:rPr>
          <w:rFonts w:cs="Arial"/>
        </w:rPr>
      </w:pPr>
      <w:r w:rsidRPr="0000127C">
        <w:rPr>
          <w:rFonts w:cs="Arial"/>
        </w:rPr>
        <w:t xml:space="preserve">Enhanced provision for small business debt advice should be put in place. In the short term, additional funding should be provided to expert providers by the Scottish Government to enable this, mindful of the findings of our research with self-employed people. In the medium to long term, the existing debt advice levy should be utilised for funding additional provision, particularly if our recommendation on broadening the contributors to the levy is delivered. </w:t>
      </w:r>
    </w:p>
    <w:p w14:paraId="4F1A90EE" w14:textId="3565415D" w:rsidR="00855502" w:rsidRPr="00003C92" w:rsidRDefault="00855502" w:rsidP="00003C92">
      <w:pPr>
        <w:pBdr>
          <w:top w:val="single" w:sz="4" w:space="1" w:color="auto"/>
          <w:left w:val="single" w:sz="4" w:space="4" w:color="auto"/>
          <w:bottom w:val="single" w:sz="4" w:space="1" w:color="auto"/>
          <w:right w:val="single" w:sz="4" w:space="4" w:color="auto"/>
        </w:pBdr>
        <w:shd w:val="clear" w:color="auto" w:fill="E59EDC" w:themeFill="accent5" w:themeFillTint="66"/>
        <w:spacing w:before="240"/>
        <w:rPr>
          <w:rFonts w:ascii="Century Gothic" w:hAnsi="Century Gothic" w:cs="Arial"/>
          <w:b/>
          <w:bCs/>
          <w:sz w:val="28"/>
          <w:szCs w:val="24"/>
        </w:rPr>
      </w:pPr>
      <w:r w:rsidRPr="00003C92">
        <w:rPr>
          <w:rFonts w:ascii="Century Gothic" w:hAnsi="Century Gothic" w:cs="Arial"/>
          <w:b/>
          <w:bCs/>
          <w:sz w:val="28"/>
          <w:szCs w:val="24"/>
        </w:rPr>
        <w:t>Rational</w:t>
      </w:r>
      <w:r w:rsidR="00091D63">
        <w:rPr>
          <w:rFonts w:ascii="Century Gothic" w:hAnsi="Century Gothic" w:cs="Arial"/>
          <w:b/>
          <w:bCs/>
          <w:sz w:val="28"/>
          <w:szCs w:val="24"/>
        </w:rPr>
        <w:t>e</w:t>
      </w:r>
    </w:p>
    <w:p w14:paraId="30799603" w14:textId="17FC9347" w:rsidR="00CB2978" w:rsidRPr="0000127C" w:rsidRDefault="00CB2978" w:rsidP="009307BB">
      <w:pPr>
        <w:pBdr>
          <w:top w:val="single" w:sz="4" w:space="1" w:color="auto"/>
          <w:left w:val="single" w:sz="4" w:space="4" w:color="auto"/>
          <w:bottom w:val="single" w:sz="4" w:space="1" w:color="auto"/>
          <w:right w:val="single" w:sz="4" w:space="4" w:color="auto"/>
        </w:pBdr>
        <w:shd w:val="clear" w:color="auto" w:fill="E59EDC" w:themeFill="accent5" w:themeFillTint="66"/>
        <w:rPr>
          <w:rFonts w:cs="Arial"/>
        </w:rPr>
      </w:pPr>
      <w:r w:rsidRPr="0000127C">
        <w:rPr>
          <w:rFonts w:cs="Arial"/>
        </w:rPr>
        <w:t>Self-employed people are not consistently and adequately served by the existing solutions but are a growing cohort needing support. The existing business Debt Arrangement Scheme (DAS) product, which was established to support small business owners, has not been effective.</w:t>
      </w:r>
    </w:p>
    <w:p w14:paraId="6215C6B2" w14:textId="437CC9BB" w:rsidR="00855502" w:rsidRDefault="00CB2978" w:rsidP="009307BB">
      <w:pPr>
        <w:pBdr>
          <w:top w:val="single" w:sz="4" w:space="1" w:color="auto"/>
          <w:left w:val="single" w:sz="4" w:space="4" w:color="auto"/>
          <w:bottom w:val="single" w:sz="4" w:space="1" w:color="auto"/>
          <w:right w:val="single" w:sz="4" w:space="4" w:color="auto"/>
        </w:pBdr>
        <w:shd w:val="clear" w:color="auto" w:fill="E59EDC" w:themeFill="accent5" w:themeFillTint="66"/>
        <w:rPr>
          <w:rFonts w:cs="Arial"/>
        </w:rPr>
      </w:pPr>
      <w:r w:rsidRPr="0000127C">
        <w:rPr>
          <w:rFonts w:cs="Arial"/>
        </w:rPr>
        <w:lastRenderedPageBreak/>
        <w:t>Small business, and self-employment is vital for economic activity, employment and innovation in Scotland. The regime can and should promote an environment which enables enterprise. Currently limited viable debt solutions for those running small businesses can be a significant limiting factor in enabling small businesses and individuals who own small businesses to thrive, with a material knock-on to society and the economy.</w:t>
      </w:r>
    </w:p>
    <w:p w14:paraId="3541ED55" w14:textId="0A522DB3" w:rsidR="00CB2978" w:rsidRPr="0000127C" w:rsidRDefault="00091D63" w:rsidP="009307BB">
      <w:pPr>
        <w:pBdr>
          <w:top w:val="single" w:sz="4" w:space="1" w:color="auto"/>
          <w:left w:val="single" w:sz="4" w:space="4" w:color="auto"/>
          <w:bottom w:val="single" w:sz="4" w:space="1" w:color="auto"/>
          <w:right w:val="single" w:sz="4" w:space="4" w:color="auto"/>
        </w:pBdr>
        <w:shd w:val="clear" w:color="auto" w:fill="E59EDC" w:themeFill="accent5" w:themeFillTint="66"/>
        <w:rPr>
          <w:rFonts w:cs="Arial"/>
        </w:rPr>
      </w:pPr>
      <w:r w:rsidRPr="0000127C">
        <w:rPr>
          <w:rFonts w:cs="Arial"/>
        </w:rPr>
        <w:t>Capacity for debt advice for small business owners, particularly for those with relatively low income and assets, is not sufficient to meet demand.</w:t>
      </w:r>
    </w:p>
    <w:p w14:paraId="1472DADA" w14:textId="77777777" w:rsidR="00CB2978" w:rsidRPr="00CB2978" w:rsidRDefault="00CB2978" w:rsidP="00CB2978">
      <w:pPr>
        <w:rPr>
          <w:rFonts w:cs="Arial"/>
        </w:rPr>
      </w:pPr>
    </w:p>
    <w:p w14:paraId="470D3FDC" w14:textId="2C19162C" w:rsidR="00F36316" w:rsidRDefault="00F36316" w:rsidP="007B71C8">
      <w:pPr>
        <w:rPr>
          <w:rFonts w:cs="Calibri"/>
        </w:rPr>
      </w:pPr>
    </w:p>
    <w:p w14:paraId="59744F87" w14:textId="77777777" w:rsidR="00F36316" w:rsidRDefault="00F36316">
      <w:pPr>
        <w:spacing w:line="259" w:lineRule="auto"/>
        <w:rPr>
          <w:rFonts w:cs="Calibri"/>
        </w:rPr>
      </w:pPr>
      <w:r>
        <w:rPr>
          <w:rFonts w:cs="Calibri"/>
        </w:rPr>
        <w:br w:type="page"/>
      </w:r>
    </w:p>
    <w:p w14:paraId="3796AF61" w14:textId="00C4B434" w:rsidR="007B71C8" w:rsidRPr="006E409D" w:rsidRDefault="2651D1B5" w:rsidP="00F76CA6">
      <w:pPr>
        <w:pStyle w:val="Heading1"/>
      </w:pPr>
      <w:bookmarkStart w:id="37" w:name="_Toc222222318"/>
      <w:bookmarkStart w:id="38" w:name="_Toc224203493"/>
      <w:bookmarkStart w:id="39" w:name="_Toc224203524"/>
      <w:r w:rsidRPr="2651D1B5">
        <w:lastRenderedPageBreak/>
        <w:t>Full list of recommendations</w:t>
      </w:r>
      <w:bookmarkEnd w:id="37"/>
      <w:bookmarkEnd w:id="38"/>
      <w:bookmarkEnd w:id="39"/>
    </w:p>
    <w:p w14:paraId="504F7F6E" w14:textId="0247DE26" w:rsidR="006E2EF7" w:rsidRPr="006E409D" w:rsidRDefault="2651D1B5" w:rsidP="00F76CA6">
      <w:r w:rsidRPr="2651D1B5">
        <w:t xml:space="preserve">All recommendations arising from this review are set out below. However, please find broader context and the rationale for each recommendation in </w:t>
      </w:r>
      <w:hyperlink r:id="rId24" w:history="1">
        <w:r w:rsidR="00491E93" w:rsidRPr="002E4742">
          <w:rPr>
            <w:rStyle w:val="Hyperlink"/>
          </w:rPr>
          <w:t>Feedback and Recommendations document</w:t>
        </w:r>
      </w:hyperlink>
      <w:r w:rsidRPr="2651D1B5">
        <w:t xml:space="preserve">, published alongside this report. </w:t>
      </w:r>
    </w:p>
    <w:p w14:paraId="12BD41E9" w14:textId="0ED25374" w:rsidR="21385EED" w:rsidRDefault="2651D1B5" w:rsidP="00F76CA6">
      <w:r w:rsidRPr="2651D1B5">
        <w:t>From recommendation three onwards, we have noted which principle(s) the recommendation is most closely aligned with and when the expected lead for taking forward the recommendation is a body other than AiB we have noted that too.</w:t>
      </w:r>
    </w:p>
    <w:p w14:paraId="17F160C1" w14:textId="2373941F" w:rsidR="00415B2A" w:rsidRPr="006E409D" w:rsidRDefault="006E2EF7" w:rsidP="00F76CA6">
      <w:pPr>
        <w:pStyle w:val="Heading2"/>
        <w:rPr>
          <w:b w:val="0"/>
        </w:rPr>
      </w:pPr>
      <w:bookmarkStart w:id="40" w:name="_Toc224203494"/>
      <w:bookmarkStart w:id="41" w:name="_Toc224203525"/>
      <w:bookmarkStart w:id="42" w:name="_Toc222222319"/>
      <w:r w:rsidRPr="006E409D">
        <w:t xml:space="preserve">Purpose of </w:t>
      </w:r>
      <w:r w:rsidR="00415B2A" w:rsidRPr="006E409D">
        <w:t>the Insolvency Regime</w:t>
      </w:r>
      <w:bookmarkEnd w:id="40"/>
      <w:bookmarkEnd w:id="41"/>
      <w:r w:rsidR="00415B2A" w:rsidRPr="006E409D">
        <w:t xml:space="preserve"> </w:t>
      </w:r>
      <w:bookmarkEnd w:id="42"/>
    </w:p>
    <w:p w14:paraId="65B0BBD0" w14:textId="6441FB27" w:rsidR="005D621F" w:rsidRPr="005D621F" w:rsidRDefault="00E2766C" w:rsidP="00E66254">
      <w:pPr>
        <w:pStyle w:val="ListParagraph"/>
        <w:ind w:left="0" w:firstLine="0"/>
      </w:pPr>
      <w:r w:rsidRPr="00DA16AE">
        <w:rPr>
          <w:b/>
          <w:bCs/>
        </w:rPr>
        <w:t>Recommendation 1.</w:t>
      </w:r>
      <w:r>
        <w:t xml:space="preserve"> </w:t>
      </w:r>
      <w:r w:rsidR="00150B37" w:rsidRPr="005D621F">
        <w:t>Th</w:t>
      </w:r>
      <w:r w:rsidR="005D621F" w:rsidRPr="005D621F">
        <w:t>e following</w:t>
      </w:r>
      <w:r w:rsidR="00150B37" w:rsidRPr="005D621F">
        <w:t xml:space="preserve"> aim should be </w:t>
      </w:r>
      <w:r w:rsidR="00677A43" w:rsidRPr="005D621F">
        <w:t>introduced for the insolvency regime:</w:t>
      </w:r>
    </w:p>
    <w:p w14:paraId="4F584A62" w14:textId="0E7CF266" w:rsidR="007B71C8" w:rsidRPr="003341FA" w:rsidRDefault="00A805A2" w:rsidP="00ED4DAB">
      <w:pPr>
        <w:pStyle w:val="Quote"/>
        <w:ind w:left="0"/>
        <w:rPr>
          <w:i w:val="0"/>
          <w:iCs w:val="0"/>
        </w:rPr>
      </w:pPr>
      <w:r w:rsidRPr="003341FA">
        <w:rPr>
          <w:i w:val="0"/>
          <w:iCs w:val="0"/>
        </w:rPr>
        <w:t>To deliver an equitable insolvency system that balances the needs of those struggling with unsustainable debts with the interests of their creditors and other borrowers.</w:t>
      </w:r>
    </w:p>
    <w:p w14:paraId="7FBE2856" w14:textId="76DFC93F" w:rsidR="00677A43" w:rsidRPr="006E409D" w:rsidRDefault="00E2766C" w:rsidP="00E66254">
      <w:pPr>
        <w:pStyle w:val="ListParagraph"/>
        <w:ind w:left="0" w:firstLine="0"/>
      </w:pPr>
      <w:r w:rsidRPr="00E66254">
        <w:rPr>
          <w:b/>
          <w:bCs/>
        </w:rPr>
        <w:t>Recommendation 2.</w:t>
      </w:r>
      <w:r>
        <w:t xml:space="preserve"> </w:t>
      </w:r>
      <w:r w:rsidR="005D621F">
        <w:t>The following</w:t>
      </w:r>
      <w:r w:rsidR="00677A43" w:rsidRPr="006E409D">
        <w:t xml:space="preserve"> principles should be introduced for the insolvency regime: </w:t>
      </w:r>
    </w:p>
    <w:p w14:paraId="4BAC6210" w14:textId="2FEA405B" w:rsidR="00BB4709" w:rsidRPr="004D0DC0" w:rsidRDefault="00BB4709" w:rsidP="00E66254">
      <w:pPr>
        <w:spacing w:after="0"/>
      </w:pPr>
      <w:bookmarkStart w:id="43" w:name="_Toc192588864"/>
      <w:r w:rsidRPr="00E66254">
        <w:rPr>
          <w:b/>
          <w:bCs/>
        </w:rPr>
        <w:t>Justice</w:t>
      </w:r>
    </w:p>
    <w:p w14:paraId="7398F0B1" w14:textId="7FF3EBDC" w:rsidR="00BB4709" w:rsidRPr="00BB4709" w:rsidRDefault="00BB4709" w:rsidP="00DA16AE">
      <w:r w:rsidRPr="00BB4709">
        <w:t xml:space="preserve">Ensure that fair and effective debt advice, debt relief and debt management is accessible to the people of Scotland. </w:t>
      </w:r>
    </w:p>
    <w:p w14:paraId="0ECA50E6" w14:textId="48B3A465" w:rsidR="00BB4709" w:rsidRPr="004D0DC0" w:rsidRDefault="00BB4709" w:rsidP="00E66254">
      <w:pPr>
        <w:spacing w:after="0"/>
      </w:pPr>
      <w:r w:rsidRPr="004D0DC0">
        <w:rPr>
          <w:b/>
          <w:bCs/>
        </w:rPr>
        <w:t>Responsibility</w:t>
      </w:r>
    </w:p>
    <w:p w14:paraId="24871E93" w14:textId="0B36A61C" w:rsidR="00BB4709" w:rsidRPr="00BB4709" w:rsidRDefault="00BB4709" w:rsidP="00DA16AE">
      <w:r w:rsidRPr="00BB4709">
        <w:t>Balance the interests of people in debt and their creditors and businesses by facilitating repayment of debts by those who are able and in doing so help ensure that all those who need to borrow can do so as economically as possible.</w:t>
      </w:r>
    </w:p>
    <w:p w14:paraId="70541886" w14:textId="2EB69F84" w:rsidR="00BB4709" w:rsidRPr="004D0DC0" w:rsidRDefault="00BB4709" w:rsidP="00E66254">
      <w:pPr>
        <w:spacing w:after="0"/>
      </w:pPr>
      <w:r w:rsidRPr="004D0DC0">
        <w:rPr>
          <w:b/>
          <w:bCs/>
        </w:rPr>
        <w:t>Future</w:t>
      </w:r>
      <w:r w:rsidR="005D621F" w:rsidRPr="004D0DC0">
        <w:rPr>
          <w:b/>
          <w:bCs/>
        </w:rPr>
        <w:t>-</w:t>
      </w:r>
      <w:r w:rsidRPr="004D0DC0">
        <w:rPr>
          <w:b/>
          <w:bCs/>
        </w:rPr>
        <w:t>focus</w:t>
      </w:r>
      <w:r w:rsidR="006A0750" w:rsidRPr="004D0DC0">
        <w:t xml:space="preserve"> </w:t>
      </w:r>
    </w:p>
    <w:p w14:paraId="1FC3A073" w14:textId="710B6055" w:rsidR="00BB4709" w:rsidRPr="00BB4709" w:rsidRDefault="00BB4709" w:rsidP="00DA16AE">
      <w:r w:rsidRPr="00BB4709">
        <w:t>Provide a safe route out of current debt problems that supports people to build a stable financial situation for the future.</w:t>
      </w:r>
    </w:p>
    <w:p w14:paraId="07443AD8" w14:textId="2EEF1D6A" w:rsidR="00285A43" w:rsidRPr="006E409D" w:rsidRDefault="00285A43" w:rsidP="00F76CA6">
      <w:pPr>
        <w:pStyle w:val="Heading2"/>
      </w:pPr>
      <w:bookmarkStart w:id="44" w:name="_Toc222222320"/>
      <w:bookmarkStart w:id="45" w:name="_Toc224203495"/>
      <w:bookmarkStart w:id="46" w:name="_Toc224203526"/>
      <w:r w:rsidRPr="006E409D">
        <w:lastRenderedPageBreak/>
        <w:t xml:space="preserve">Incremental </w:t>
      </w:r>
      <w:r w:rsidR="008B1390" w:rsidRPr="006E409D">
        <w:t>I</w:t>
      </w:r>
      <w:r w:rsidRPr="006E409D">
        <w:t xml:space="preserve">mprovements to the </w:t>
      </w:r>
      <w:r w:rsidR="008B1390" w:rsidRPr="006E409D">
        <w:t>C</w:t>
      </w:r>
      <w:r w:rsidRPr="006E409D">
        <w:t xml:space="preserve">urrent </w:t>
      </w:r>
      <w:r w:rsidR="008B1390" w:rsidRPr="006E409D">
        <w:t>S</w:t>
      </w:r>
      <w:r w:rsidRPr="006E409D">
        <w:t>olutions</w:t>
      </w:r>
      <w:bookmarkEnd w:id="43"/>
      <w:bookmarkEnd w:id="44"/>
      <w:bookmarkEnd w:id="45"/>
      <w:bookmarkEnd w:id="46"/>
    </w:p>
    <w:p w14:paraId="56704042" w14:textId="521CF42E" w:rsidR="003A7D05" w:rsidRPr="006E409D" w:rsidRDefault="00E2766C" w:rsidP="00E66254">
      <w:r w:rsidRPr="00E66254">
        <w:rPr>
          <w:b/>
          <w:bCs/>
        </w:rPr>
        <w:t>Recommendation 3.</w:t>
      </w:r>
      <w:r>
        <w:t xml:space="preserve"> </w:t>
      </w:r>
      <w:r w:rsidR="21385EED" w:rsidRPr="21385EED">
        <w:t>A moratorium period which is triggered when a solution fails, or is about to fail, should be introduced. The moratorium should be no longer than 60</w:t>
      </w:r>
      <w:r w:rsidR="00B23D0F">
        <w:t> </w:t>
      </w:r>
      <w:r w:rsidR="21385EED" w:rsidRPr="21385EED">
        <w:t>-</w:t>
      </w:r>
      <w:r w:rsidR="00B23D0F">
        <w:t> </w:t>
      </w:r>
      <w:r w:rsidR="21385EED" w:rsidRPr="21385EED">
        <w:t>90 days. (</w:t>
      </w:r>
      <w:r w:rsidR="00A2447F">
        <w:t>Justice</w:t>
      </w:r>
      <w:r w:rsidR="21385EED" w:rsidRPr="21385EED">
        <w:t>)</w:t>
      </w:r>
    </w:p>
    <w:p w14:paraId="4B31D232" w14:textId="070B4A8F" w:rsidR="00EC2C59" w:rsidRPr="006E409D" w:rsidRDefault="00E2766C" w:rsidP="00E66254">
      <w:r w:rsidRPr="00E66254">
        <w:rPr>
          <w:b/>
          <w:bCs/>
        </w:rPr>
        <w:t>Recommendation 4.</w:t>
      </w:r>
      <w:r>
        <w:t xml:space="preserve"> </w:t>
      </w:r>
      <w:r w:rsidR="21385EED" w:rsidRPr="5CFACBB3">
        <w:t xml:space="preserve">A moratorium should be available when one party dies while in a jointly held </w:t>
      </w:r>
      <w:r w:rsidR="0165237B" w:rsidRPr="5CFACBB3">
        <w:t>D</w:t>
      </w:r>
      <w:r w:rsidR="00346C18">
        <w:t xml:space="preserve">ebt Arrangement </w:t>
      </w:r>
      <w:r w:rsidR="0165237B" w:rsidRPr="5CFACBB3">
        <w:t>S</w:t>
      </w:r>
      <w:r w:rsidR="00346C18">
        <w:t>cheme</w:t>
      </w:r>
      <w:r w:rsidR="00551410">
        <w:t xml:space="preserve"> (DAS)</w:t>
      </w:r>
      <w:r w:rsidR="0165237B" w:rsidRPr="5CFACBB3">
        <w:t xml:space="preserve"> D</w:t>
      </w:r>
      <w:r w:rsidR="00796F37">
        <w:t xml:space="preserve">ebt </w:t>
      </w:r>
      <w:r w:rsidR="0165237B" w:rsidRPr="5CFACBB3">
        <w:t>P</w:t>
      </w:r>
      <w:r w:rsidR="00796F37">
        <w:t xml:space="preserve">ayment </w:t>
      </w:r>
      <w:r w:rsidR="0165237B" w:rsidRPr="5CFACBB3">
        <w:t>P</w:t>
      </w:r>
      <w:r w:rsidR="00796F37">
        <w:t>rogramme</w:t>
      </w:r>
      <w:r w:rsidR="00551410">
        <w:t xml:space="preserve"> (DPP)</w:t>
      </w:r>
      <w:r w:rsidR="21385EED" w:rsidRPr="5CFACBB3">
        <w:t xml:space="preserve"> and this should be considered by AiB at the same time as recommendation </w:t>
      </w:r>
      <w:r w:rsidR="000D5CEF" w:rsidRPr="5CFACBB3">
        <w:t>3</w:t>
      </w:r>
      <w:r w:rsidR="21385EED" w:rsidRPr="5CFACBB3">
        <w:t>. (</w:t>
      </w:r>
      <w:r w:rsidR="00E9508B">
        <w:t>Justice</w:t>
      </w:r>
      <w:r w:rsidR="21385EED" w:rsidRPr="5CFACBB3">
        <w:t>)</w:t>
      </w:r>
    </w:p>
    <w:p w14:paraId="22811218" w14:textId="1B8EF6C5" w:rsidR="00EC2E09" w:rsidRPr="006E409D" w:rsidRDefault="00E2766C" w:rsidP="00E66254">
      <w:r w:rsidRPr="00E66254">
        <w:rPr>
          <w:b/>
          <w:bCs/>
        </w:rPr>
        <w:t>Recommendation 5.</w:t>
      </w:r>
      <w:r>
        <w:t xml:space="preserve"> </w:t>
      </w:r>
      <w:r w:rsidR="21385EED" w:rsidRPr="21385EED">
        <w:t>AiB should amend its rules to allow for easier transfer between existing solutions, including more seamless data transfer between</w:t>
      </w:r>
      <w:r w:rsidR="00200E25">
        <w:t xml:space="preserve"> </w:t>
      </w:r>
      <w:r w:rsidR="21385EED" w:rsidRPr="21385EED">
        <w:t>eDEN, ASTRA and BASYS. (</w:t>
      </w:r>
      <w:r w:rsidR="001A3F7A">
        <w:t>Justice</w:t>
      </w:r>
      <w:r w:rsidR="21385EED" w:rsidRPr="21385EED">
        <w:t xml:space="preserve">) </w:t>
      </w:r>
    </w:p>
    <w:p w14:paraId="0F8E793F" w14:textId="7B13A07C" w:rsidR="005657A4" w:rsidRPr="006E409D" w:rsidRDefault="00E2766C" w:rsidP="00E66254">
      <w:r w:rsidRPr="00E66254">
        <w:rPr>
          <w:b/>
          <w:bCs/>
        </w:rPr>
        <w:t>Recommendation 6.</w:t>
      </w:r>
      <w:r>
        <w:t xml:space="preserve"> </w:t>
      </w:r>
      <w:r w:rsidR="21385EED" w:rsidRPr="21385EED">
        <w:t xml:space="preserve">AiB should continue to engage closely </w:t>
      </w:r>
      <w:r w:rsidR="008B3B26">
        <w:t>with</w:t>
      </w:r>
      <w:r w:rsidR="21385EED" w:rsidRPr="21385EED">
        <w:t xml:space="preserve"> the ongoing </w:t>
      </w:r>
      <w:r w:rsidR="008B3B26">
        <w:t>work of</w:t>
      </w:r>
      <w:r w:rsidR="21385EED" w:rsidRPr="21385EED">
        <w:t xml:space="preserve"> the Personal Insolvency Review being led by the Insolvency Service in England and Wales. (</w:t>
      </w:r>
      <w:r w:rsidR="001A3F7A">
        <w:t>Justice</w:t>
      </w:r>
      <w:r w:rsidR="21385EED" w:rsidRPr="21385EED">
        <w:t>)</w:t>
      </w:r>
    </w:p>
    <w:p w14:paraId="1C439F3A" w14:textId="45FDB3CE" w:rsidR="00AF61CA" w:rsidRPr="006E409D" w:rsidRDefault="00E2766C" w:rsidP="00E66254">
      <w:r w:rsidRPr="00E66254">
        <w:rPr>
          <w:b/>
          <w:bCs/>
        </w:rPr>
        <w:t>Recommendation 7.</w:t>
      </w:r>
      <w:r>
        <w:t xml:space="preserve"> </w:t>
      </w:r>
      <w:r w:rsidR="3AB4E7E3" w:rsidRPr="3AB4E7E3">
        <w:t>The upper debt limit allowed in MAP should be increased to £50</w:t>
      </w:r>
      <w:r w:rsidR="00B23D0F">
        <w:t>,000</w:t>
      </w:r>
      <w:r w:rsidR="3AB4E7E3" w:rsidRPr="3AB4E7E3">
        <w:t>, and the time limit for secondary applications should be set at 6 years. (</w:t>
      </w:r>
      <w:r w:rsidR="001A3F7A">
        <w:t>Justice</w:t>
      </w:r>
      <w:r w:rsidR="3AB4E7E3" w:rsidRPr="3AB4E7E3">
        <w:t>)</w:t>
      </w:r>
    </w:p>
    <w:p w14:paraId="4F3BDFCE" w14:textId="26FC5591" w:rsidR="003F5366" w:rsidRPr="006E409D" w:rsidRDefault="00E2766C" w:rsidP="00E66254">
      <w:r w:rsidRPr="00E66254">
        <w:rPr>
          <w:b/>
          <w:bCs/>
        </w:rPr>
        <w:t>Recommendation 8.</w:t>
      </w:r>
      <w:r>
        <w:t xml:space="preserve"> </w:t>
      </w:r>
      <w:r w:rsidR="3AB4E7E3" w:rsidRPr="3AB4E7E3">
        <w:t xml:space="preserve">The proposed changes to moratorium set out </w:t>
      </w:r>
      <w:r w:rsidR="009732EC">
        <w:t>in recommendations</w:t>
      </w:r>
      <w:r w:rsidR="3AB4E7E3" w:rsidRPr="3AB4E7E3">
        <w:t xml:space="preserve"> </w:t>
      </w:r>
      <w:r w:rsidR="0026640C">
        <w:t>3</w:t>
      </w:r>
      <w:r w:rsidR="3AB4E7E3" w:rsidRPr="3AB4E7E3">
        <w:t xml:space="preserve"> </w:t>
      </w:r>
      <w:r w:rsidR="005D621F">
        <w:t xml:space="preserve">and 4 </w:t>
      </w:r>
      <w:r w:rsidR="3AB4E7E3" w:rsidRPr="3AB4E7E3">
        <w:t>should include DAS clients who experience a change in circumstances which means their DPP is no longer viable and where the client has a reasonable intent to enter an alternative solution. As a further protection for this moratorium period, backdated and ongoing interest and charges should not be allowed to be immediately reapplied. They should only be reapplied if the person in debt reaches the end of the moratorium without another recognised solution in place. (</w:t>
      </w:r>
      <w:r w:rsidR="00A849B0">
        <w:t>Justice</w:t>
      </w:r>
      <w:r w:rsidR="00B136F2">
        <w:t xml:space="preserve"> and R</w:t>
      </w:r>
      <w:r w:rsidR="00A849B0">
        <w:t>esponsibility</w:t>
      </w:r>
      <w:r w:rsidR="3AB4E7E3" w:rsidRPr="3AB4E7E3">
        <w:t>)</w:t>
      </w:r>
    </w:p>
    <w:p w14:paraId="1BA83C69" w14:textId="60EB4DE5" w:rsidR="006324E2" w:rsidRPr="006E409D" w:rsidRDefault="00A26FC0" w:rsidP="00E66254">
      <w:r w:rsidRPr="00E66254">
        <w:rPr>
          <w:b/>
          <w:bCs/>
        </w:rPr>
        <w:t>Recommendation 9.</w:t>
      </w:r>
      <w:r>
        <w:t xml:space="preserve"> </w:t>
      </w:r>
      <w:r w:rsidR="21385EED" w:rsidRPr="21385EED">
        <w:t xml:space="preserve">The basis of the Common Financial Tool should be the Standard Financial Statement, but the Scottish Government should consider setting Scotland specific </w:t>
      </w:r>
      <w:r w:rsidR="005D65D0">
        <w:t xml:space="preserve">‘guardrails’ around the </w:t>
      </w:r>
      <w:r w:rsidR="21385EED" w:rsidRPr="21385EED">
        <w:t xml:space="preserve">spending guidelines </w:t>
      </w:r>
      <w:r w:rsidR="005D65D0">
        <w:t>when</w:t>
      </w:r>
      <w:r w:rsidR="21385EED" w:rsidRPr="21385EED">
        <w:t xml:space="preserve"> use</w:t>
      </w:r>
      <w:r w:rsidR="005D65D0">
        <w:t>d</w:t>
      </w:r>
      <w:r w:rsidR="21385EED" w:rsidRPr="21385EED">
        <w:t xml:space="preserve"> in the assessment of all Scottish statutory solutions</w:t>
      </w:r>
      <w:r w:rsidR="001514B4">
        <w:t>, due to the particularly high prevalence of</w:t>
      </w:r>
      <w:r w:rsidR="004D2598">
        <w:t xml:space="preserve"> rural and island communities in Scotland</w:t>
      </w:r>
      <w:r w:rsidR="21385EED" w:rsidRPr="21385EED">
        <w:t>. (</w:t>
      </w:r>
      <w:r w:rsidR="00D2027C">
        <w:t>Justice</w:t>
      </w:r>
      <w:r w:rsidR="21385EED" w:rsidRPr="21385EED">
        <w:t>)</w:t>
      </w:r>
      <w:r w:rsidR="00C41D5B">
        <w:t xml:space="preserve"> (</w:t>
      </w:r>
      <w:r w:rsidR="21385EED" w:rsidRPr="21385EED">
        <w:t>SG</w:t>
      </w:r>
      <w:r w:rsidR="00A21E09">
        <w:t xml:space="preserve"> to lead</w:t>
      </w:r>
      <w:r w:rsidR="00C41D5B">
        <w:t>)</w:t>
      </w:r>
    </w:p>
    <w:p w14:paraId="71C54E5D" w14:textId="77664473" w:rsidR="00AB4028" w:rsidRPr="006E409D" w:rsidRDefault="00A26FC0" w:rsidP="00E66254">
      <w:r w:rsidRPr="00D21EAB">
        <w:rPr>
          <w:b/>
          <w:bCs/>
        </w:rPr>
        <w:lastRenderedPageBreak/>
        <w:t>Recommendation 10.</w:t>
      </w:r>
      <w:r>
        <w:t xml:space="preserve"> </w:t>
      </w:r>
      <w:r w:rsidR="2651D1B5" w:rsidRPr="2651D1B5">
        <w:t xml:space="preserve">The split of any increased income received by the client during a statutory debt solution should be divided 50/50 between the person in debt and their creditors. However, AiB should calculate a de minimis figure which is put in place before this 50/50 split comes into play. Alongside this, no barrier should be put in place to stop a person in debt contributing some or </w:t>
      </w:r>
      <w:proofErr w:type="gramStart"/>
      <w:r w:rsidR="2651D1B5" w:rsidRPr="2651D1B5">
        <w:t>all of</w:t>
      </w:r>
      <w:proofErr w:type="gramEnd"/>
      <w:r w:rsidR="2651D1B5" w:rsidRPr="2651D1B5">
        <w:t xml:space="preserve"> their additional disposable income to repaying debt through their statutory solution if they so choose. (</w:t>
      </w:r>
      <w:r w:rsidR="000D5158">
        <w:t>Responsibility</w:t>
      </w:r>
      <w:r w:rsidR="2651D1B5" w:rsidRPr="2651D1B5">
        <w:t>)</w:t>
      </w:r>
    </w:p>
    <w:p w14:paraId="66D0FDB0" w14:textId="295CE3D8" w:rsidR="00E711AD" w:rsidRDefault="00A26FC0" w:rsidP="00E66254">
      <w:r w:rsidRPr="00D21EAB">
        <w:rPr>
          <w:b/>
          <w:bCs/>
        </w:rPr>
        <w:t>Recommendation 11.</w:t>
      </w:r>
      <w:r>
        <w:t xml:space="preserve"> </w:t>
      </w:r>
      <w:r w:rsidR="2651D1B5" w:rsidRPr="2651D1B5">
        <w:t>I</w:t>
      </w:r>
      <w:r w:rsidR="2651D1B5" w:rsidRPr="00605030">
        <w:t xml:space="preserve">ncome received by way of damages for personal injury or distress while in a statutory solution should be excluded in </w:t>
      </w:r>
      <w:proofErr w:type="gramStart"/>
      <w:r w:rsidR="2651D1B5" w:rsidRPr="00605030">
        <w:t>full from</w:t>
      </w:r>
      <w:proofErr w:type="gramEnd"/>
      <w:r w:rsidR="2651D1B5" w:rsidRPr="00605030">
        <w:t xml:space="preserve"> funds available to creditors. (</w:t>
      </w:r>
      <w:r w:rsidR="000D5158">
        <w:t>Justice</w:t>
      </w:r>
      <w:r w:rsidR="2651D1B5" w:rsidRPr="00605030">
        <w:t>)</w:t>
      </w:r>
    </w:p>
    <w:p w14:paraId="75FDCA1B" w14:textId="17B22589" w:rsidR="2651D1B5" w:rsidRPr="00E2766C" w:rsidRDefault="00A26FC0" w:rsidP="00E66254">
      <w:pPr>
        <w:rPr>
          <w:strike/>
        </w:rPr>
      </w:pPr>
      <w:r w:rsidRPr="00D21EAB">
        <w:rPr>
          <w:b/>
          <w:bCs/>
        </w:rPr>
        <w:t>Recommendation 12.</w:t>
      </w:r>
      <w:r>
        <w:t xml:space="preserve"> </w:t>
      </w:r>
      <w:r w:rsidR="2651D1B5" w:rsidRPr="2651D1B5">
        <w:t>Where equity from a primary residence is liable to be included in funds made available to creditors within an insolvency procedure, a minimum figure should be put in place below which equity in the primary residence would be disregarded. AiB should carry out its own due process in setting an appropriate minimum figure. As with our other relevant recommendations, this figure should subsequently be uprated annually in line with inflation. (</w:t>
      </w:r>
      <w:r w:rsidR="000D5158">
        <w:t xml:space="preserve">Justice and </w:t>
      </w:r>
      <w:r w:rsidR="00B136F2">
        <w:t>Responsibility</w:t>
      </w:r>
      <w:r w:rsidR="2651D1B5" w:rsidRPr="2651D1B5">
        <w:t xml:space="preserve">) </w:t>
      </w:r>
    </w:p>
    <w:p w14:paraId="529B725B" w14:textId="74105E41" w:rsidR="2651D1B5" w:rsidRDefault="00A26FC0" w:rsidP="00E66254">
      <w:r w:rsidRPr="00D21EAB">
        <w:rPr>
          <w:b/>
          <w:bCs/>
        </w:rPr>
        <w:t>Recommendation 13.</w:t>
      </w:r>
      <w:r>
        <w:t xml:space="preserve"> </w:t>
      </w:r>
      <w:r w:rsidR="2651D1B5" w:rsidRPr="2651D1B5">
        <w:t>AiB should develop and consult on a standard method for calculating the value of equity in a property.</w:t>
      </w:r>
      <w:r w:rsidR="00ED4DAB">
        <w:t xml:space="preserve"> (Justice and Responsibility)</w:t>
      </w:r>
    </w:p>
    <w:p w14:paraId="6752F0A0" w14:textId="5F79FBFC" w:rsidR="005110DA" w:rsidRPr="006E409D" w:rsidRDefault="00A26FC0" w:rsidP="005110DA">
      <w:r w:rsidRPr="00D21EAB">
        <w:rPr>
          <w:b/>
          <w:bCs/>
        </w:rPr>
        <w:t>Recommendation 14.</w:t>
      </w:r>
      <w:r>
        <w:t xml:space="preserve"> </w:t>
      </w:r>
      <w:r w:rsidR="2651D1B5" w:rsidRPr="2651D1B5">
        <w:t>Scottish Government should follow-up on its previous commitment to commission independent research into used car prices and use that data to inform an appropriate new allowable limit for the value of a vehicle in various insolvency procedures. While that work is ongoing, the limit should be raised to £5,000 as a stop gap, to minimise the detriment that may be arising from the vehicle limit being unrealistically low.</w:t>
      </w:r>
      <w:r w:rsidR="00ED4DAB">
        <w:t xml:space="preserve"> (</w:t>
      </w:r>
      <w:r w:rsidR="005110DA">
        <w:t>Justice</w:t>
      </w:r>
      <w:r w:rsidR="00ED4DAB">
        <w:t>) (</w:t>
      </w:r>
      <w:r w:rsidR="005110DA">
        <w:t>SG</w:t>
      </w:r>
      <w:r w:rsidR="00A21E09">
        <w:t xml:space="preserve"> to lead</w:t>
      </w:r>
      <w:r w:rsidR="00ED4DAB">
        <w:t>)</w:t>
      </w:r>
    </w:p>
    <w:p w14:paraId="407314F9" w14:textId="4AF27344" w:rsidR="000E042A" w:rsidRPr="006E409D" w:rsidRDefault="00A26FC0" w:rsidP="005110DA">
      <w:r w:rsidRPr="00D21EAB">
        <w:rPr>
          <w:b/>
          <w:bCs/>
        </w:rPr>
        <w:t>Recommendation 15.</w:t>
      </w:r>
      <w:r>
        <w:t xml:space="preserve"> </w:t>
      </w:r>
      <w:r w:rsidR="2651D1B5" w:rsidRPr="2651D1B5">
        <w:t>Mobility scooters should be exempted from consideration as an asset in insolvency. (</w:t>
      </w:r>
      <w:r w:rsidR="00B136F2">
        <w:t>Justice</w:t>
      </w:r>
      <w:r w:rsidR="2651D1B5" w:rsidRPr="2651D1B5">
        <w:t>)</w:t>
      </w:r>
    </w:p>
    <w:p w14:paraId="0FEA7243" w14:textId="523CD73C" w:rsidR="003F1E32" w:rsidRPr="006E409D" w:rsidRDefault="00A26FC0" w:rsidP="005110DA">
      <w:r w:rsidRPr="00D21EAB">
        <w:rPr>
          <w:b/>
          <w:bCs/>
        </w:rPr>
        <w:t>Recommendation 16.</w:t>
      </w:r>
      <w:r>
        <w:t xml:space="preserve"> </w:t>
      </w:r>
      <w:r w:rsidR="2651D1B5" w:rsidRPr="2651D1B5">
        <w:t>The allowed level of funds in a current account at the point of applying for bankruptcy should be up to the client’s agreed monthly total expenditure amount set in the Common Financial Tool. (</w:t>
      </w:r>
      <w:r w:rsidR="00B136F2">
        <w:t>Justice and Responsibility</w:t>
      </w:r>
      <w:r w:rsidR="2651D1B5" w:rsidRPr="2651D1B5">
        <w:t>)</w:t>
      </w:r>
    </w:p>
    <w:p w14:paraId="66CB3006" w14:textId="031A0958" w:rsidR="008907EC" w:rsidRDefault="00A26FC0" w:rsidP="005110DA">
      <w:r w:rsidRPr="00D21EAB">
        <w:rPr>
          <w:b/>
          <w:bCs/>
        </w:rPr>
        <w:lastRenderedPageBreak/>
        <w:t>Recommendation 17.</w:t>
      </w:r>
      <w:r>
        <w:t xml:space="preserve"> </w:t>
      </w:r>
      <w:r w:rsidR="2651D1B5" w:rsidRPr="2651D1B5">
        <w:t>AiB’s quarterly review meetings should continue with a view to monitoring the system on an ongoing basis, to ensure it is meeting its aims, the rules and processes remain relevant and to pro-actively identify emerging risks and issues. Fuller strategic reviews of the system should take place in three-to-five-year cycles. (</w:t>
      </w:r>
      <w:r w:rsidR="00B136F2">
        <w:t>Justice</w:t>
      </w:r>
      <w:r w:rsidR="2651D1B5" w:rsidRPr="2651D1B5">
        <w:t>)</w:t>
      </w:r>
    </w:p>
    <w:p w14:paraId="6A3E967D" w14:textId="074A129F" w:rsidR="008B1390" w:rsidRPr="006E409D" w:rsidRDefault="008B1390" w:rsidP="00F76CA6">
      <w:pPr>
        <w:pStyle w:val="Heading2"/>
      </w:pPr>
      <w:bookmarkStart w:id="47" w:name="_Toc192174677"/>
      <w:bookmarkStart w:id="48" w:name="_Toc192588865"/>
      <w:bookmarkStart w:id="49" w:name="_Toc222222321"/>
      <w:bookmarkStart w:id="50" w:name="_Toc224203496"/>
      <w:bookmarkStart w:id="51" w:name="_Toc224203527"/>
      <w:r w:rsidRPr="006E409D">
        <w:t xml:space="preserve">Insolvency in a </w:t>
      </w:r>
      <w:r w:rsidR="00677EB1" w:rsidRPr="006E409D">
        <w:t>W</w:t>
      </w:r>
      <w:r w:rsidRPr="006E409D">
        <w:t xml:space="preserve">ider </w:t>
      </w:r>
      <w:r w:rsidR="00677EB1" w:rsidRPr="006E409D">
        <w:t>C</w:t>
      </w:r>
      <w:r w:rsidRPr="006E409D">
        <w:t>ontext</w:t>
      </w:r>
      <w:bookmarkEnd w:id="47"/>
      <w:bookmarkEnd w:id="48"/>
      <w:bookmarkEnd w:id="49"/>
      <w:bookmarkEnd w:id="50"/>
      <w:bookmarkEnd w:id="51"/>
    </w:p>
    <w:p w14:paraId="677CFD01" w14:textId="18E521B4" w:rsidR="00CC6C0C" w:rsidRPr="006E409D" w:rsidRDefault="00A26FC0" w:rsidP="00E66254">
      <w:pPr>
        <w:pStyle w:val="ListParagraph"/>
        <w:ind w:left="0" w:firstLine="0"/>
      </w:pPr>
      <w:r w:rsidRPr="00D21EAB">
        <w:rPr>
          <w:b/>
          <w:bCs/>
        </w:rPr>
        <w:t>Recommendation 18.</w:t>
      </w:r>
      <w:r>
        <w:t xml:space="preserve"> </w:t>
      </w:r>
      <w:r w:rsidR="2651D1B5" w:rsidRPr="2651D1B5">
        <w:t>AiB should uprate all limits and allowances stated in pound sterling within the insolvency legislation and guidance by the CPI inflation measure each April. (</w:t>
      </w:r>
      <w:r w:rsidR="00A13933">
        <w:t>Justice</w:t>
      </w:r>
      <w:r w:rsidR="2651D1B5" w:rsidRPr="2651D1B5">
        <w:t>)</w:t>
      </w:r>
    </w:p>
    <w:p w14:paraId="36120CBB" w14:textId="69041697" w:rsidR="00E02120" w:rsidRPr="006E409D" w:rsidRDefault="00A26FC0" w:rsidP="00E66254">
      <w:pPr>
        <w:pStyle w:val="ListParagraph"/>
        <w:ind w:left="0" w:firstLine="0"/>
      </w:pPr>
      <w:r w:rsidRPr="00D21EAB">
        <w:rPr>
          <w:b/>
          <w:bCs/>
        </w:rPr>
        <w:t>Recommendation 19.</w:t>
      </w:r>
      <w:r>
        <w:t xml:space="preserve"> </w:t>
      </w:r>
      <w:r w:rsidR="2651D1B5" w:rsidRPr="2651D1B5">
        <w:t xml:space="preserve">The Scottish Government should consider and address the provision of consistent income maximisation as part of the broader exercise we are recommending </w:t>
      </w:r>
      <w:proofErr w:type="gramStart"/>
      <w:r w:rsidR="2651D1B5" w:rsidRPr="2651D1B5">
        <w:t>to assess</w:t>
      </w:r>
      <w:proofErr w:type="gramEnd"/>
      <w:r w:rsidR="2651D1B5" w:rsidRPr="2651D1B5">
        <w:t>, and address, the level of need for debt advice in Scotland. (</w:t>
      </w:r>
      <w:r w:rsidR="00A13933">
        <w:t>Future-focus</w:t>
      </w:r>
      <w:r w:rsidR="2651D1B5" w:rsidRPr="2651D1B5">
        <w:t xml:space="preserve">) </w:t>
      </w:r>
      <w:r w:rsidR="00C41D5B">
        <w:t>(</w:t>
      </w:r>
      <w:r w:rsidR="2651D1B5" w:rsidRPr="2651D1B5">
        <w:t>SG</w:t>
      </w:r>
      <w:r w:rsidR="00A21E09">
        <w:t xml:space="preserve"> to lead</w:t>
      </w:r>
      <w:r w:rsidR="00C41D5B">
        <w:t>)</w:t>
      </w:r>
    </w:p>
    <w:p w14:paraId="203D7F2C" w14:textId="32EA553A" w:rsidR="00413678" w:rsidRPr="006E409D" w:rsidRDefault="00A26FC0" w:rsidP="00E66254">
      <w:pPr>
        <w:pStyle w:val="ListParagraph"/>
        <w:ind w:left="0" w:firstLine="0"/>
      </w:pPr>
      <w:r w:rsidRPr="00D21EAB">
        <w:rPr>
          <w:b/>
          <w:bCs/>
        </w:rPr>
        <w:t>Recommendation 20.</w:t>
      </w:r>
      <w:r>
        <w:t xml:space="preserve"> </w:t>
      </w:r>
      <w:r w:rsidR="2651D1B5" w:rsidRPr="2651D1B5">
        <w:t>AiB should develop a notice that money advisers and insolvency practitioners can send to creditors when they approach them for details of claims, setting out creditor responsibilities in relation to DAS DPPs. (</w:t>
      </w:r>
      <w:r w:rsidR="00A13933">
        <w:t>Responsibility</w:t>
      </w:r>
      <w:r w:rsidR="2651D1B5" w:rsidRPr="2651D1B5">
        <w:t>)</w:t>
      </w:r>
    </w:p>
    <w:p w14:paraId="57A0CE67" w14:textId="43727768" w:rsidR="00982A69" w:rsidRPr="006E409D" w:rsidRDefault="00A26FC0" w:rsidP="00E66254">
      <w:pPr>
        <w:pStyle w:val="ListParagraph"/>
        <w:ind w:left="0" w:firstLine="0"/>
      </w:pPr>
      <w:r w:rsidRPr="00D21EAB">
        <w:rPr>
          <w:b/>
          <w:bCs/>
        </w:rPr>
        <w:t xml:space="preserve">Recommendation 21. </w:t>
      </w:r>
      <w:r w:rsidR="2651D1B5" w:rsidRPr="2651D1B5">
        <w:t>A memorandum of understanding between AiB and the FCA should be put in place to facilitate closer working and greater information sharing about poor creditor practice. The Scottish Government should also work closely with AiB, FCA and the Insolvency Service to agree an approach to Credit Reference Agencies to improve reporting of DPPs, and other debt solutions, on credit files. (</w:t>
      </w:r>
      <w:r w:rsidR="00371DAF">
        <w:t>Justice, Responsibility and Future-focus</w:t>
      </w:r>
      <w:r w:rsidR="2651D1B5" w:rsidRPr="2651D1B5">
        <w:t>)</w:t>
      </w:r>
      <w:r w:rsidR="00C41D5B">
        <w:t xml:space="preserve"> (</w:t>
      </w:r>
      <w:r w:rsidR="2651D1B5" w:rsidRPr="2651D1B5">
        <w:t>SG</w:t>
      </w:r>
      <w:r w:rsidR="00A21E09">
        <w:t xml:space="preserve"> to lead</w:t>
      </w:r>
      <w:r w:rsidR="00C41D5B">
        <w:t>)</w:t>
      </w:r>
    </w:p>
    <w:p w14:paraId="0A086881" w14:textId="06571DF6" w:rsidR="00982A69" w:rsidRDefault="00A26FC0" w:rsidP="00E66254">
      <w:pPr>
        <w:pStyle w:val="ListParagraph"/>
        <w:ind w:left="0" w:firstLine="0"/>
      </w:pPr>
      <w:r w:rsidRPr="00D21EAB">
        <w:rPr>
          <w:b/>
          <w:bCs/>
        </w:rPr>
        <w:t>Recommendation 22.</w:t>
      </w:r>
      <w:r>
        <w:t xml:space="preserve"> </w:t>
      </w:r>
      <w:r w:rsidR="2651D1B5" w:rsidRPr="2651D1B5">
        <w:t>AiB should systematically collect information from advisers and insolvency practitioners about creditors that repeatedly fail to fulfil their responsibilities and share it with the regulators of those creditors. (</w:t>
      </w:r>
      <w:r w:rsidR="00360B9E">
        <w:t>Justice and Responsibility</w:t>
      </w:r>
      <w:r w:rsidR="2651D1B5" w:rsidRPr="2651D1B5">
        <w:t>)</w:t>
      </w:r>
    </w:p>
    <w:p w14:paraId="51EF7A59" w14:textId="6B3596C6" w:rsidR="003E2510" w:rsidRDefault="003E2510">
      <w:pPr>
        <w:spacing w:line="259" w:lineRule="auto"/>
      </w:pPr>
      <w:r>
        <w:br w:type="page"/>
      </w:r>
    </w:p>
    <w:p w14:paraId="52A686B1" w14:textId="572509BB" w:rsidR="00CC1B4F" w:rsidRPr="006E409D" w:rsidRDefault="00A26FC0" w:rsidP="00E66254">
      <w:pPr>
        <w:pStyle w:val="ListParagraph"/>
        <w:ind w:left="0" w:firstLine="0"/>
      </w:pPr>
      <w:r w:rsidRPr="00D21EAB">
        <w:rPr>
          <w:b/>
          <w:bCs/>
        </w:rPr>
        <w:lastRenderedPageBreak/>
        <w:t>Recommendation 23.</w:t>
      </w:r>
      <w:r>
        <w:t xml:space="preserve"> </w:t>
      </w:r>
      <w:r w:rsidR="2651D1B5" w:rsidRPr="2651D1B5">
        <w:t>AiB, building on its existing work on language and accessibility, should collaborate with stakeholders to evolve language linked to debt, insolvency and related matters with a view to making it more positive and person-centred across creditor, IP, advice sector and AiB communications. This language should then be embedded into relevant literature and used in future legislation. (</w:t>
      </w:r>
      <w:r w:rsidR="00360B9E">
        <w:t>Justice</w:t>
      </w:r>
      <w:r w:rsidR="2651D1B5" w:rsidRPr="2651D1B5">
        <w:t>)</w:t>
      </w:r>
    </w:p>
    <w:p w14:paraId="657DF4A2" w14:textId="090F60FB" w:rsidR="008907EC" w:rsidRDefault="00A26FC0" w:rsidP="00E66254">
      <w:pPr>
        <w:pStyle w:val="ListParagraph"/>
        <w:ind w:left="0" w:firstLine="0"/>
      </w:pPr>
      <w:r w:rsidRPr="00D21EAB">
        <w:rPr>
          <w:b/>
          <w:bCs/>
        </w:rPr>
        <w:t>Recommendation 24.</w:t>
      </w:r>
      <w:r>
        <w:t xml:space="preserve"> </w:t>
      </w:r>
      <w:r w:rsidR="2651D1B5" w:rsidRPr="2651D1B5">
        <w:t>The Debt Advice and Information Package should be revised so that it not only covers what is expected of the consumer, but also that they should in turn expect to be treated with dignity and respect by AiB and others involved in providing debt advice and administering insolvency. (</w:t>
      </w:r>
      <w:r w:rsidR="00360B9E">
        <w:t>Justice, Responsibility and Future-focus</w:t>
      </w:r>
      <w:r w:rsidR="2651D1B5" w:rsidRPr="2651D1B5">
        <w:t>)</w:t>
      </w:r>
    </w:p>
    <w:p w14:paraId="6C16B80A" w14:textId="557C5357" w:rsidR="00787AEF" w:rsidRPr="006E409D" w:rsidRDefault="00A26FC0" w:rsidP="00E66254">
      <w:pPr>
        <w:pStyle w:val="ListParagraph"/>
        <w:ind w:left="0" w:firstLine="0"/>
      </w:pPr>
      <w:r w:rsidRPr="00D21EAB">
        <w:rPr>
          <w:b/>
          <w:bCs/>
        </w:rPr>
        <w:t>Recommendation 25.</w:t>
      </w:r>
      <w:r>
        <w:t xml:space="preserve"> </w:t>
      </w:r>
      <w:r w:rsidR="2651D1B5" w:rsidRPr="2651D1B5">
        <w:t>Every standard setter should review existing rules, guidance and principles to ensure they embody broad alignment with the FCA Consumer Duty, as well as including a recognition that all stakeholders in the system should be treated with dignity and respect. (</w:t>
      </w:r>
      <w:r w:rsidR="00360B9E">
        <w:t>Justice, Responsibility and Future-focus</w:t>
      </w:r>
      <w:r w:rsidR="2651D1B5" w:rsidRPr="2651D1B5">
        <w:t xml:space="preserve">) </w:t>
      </w:r>
      <w:r w:rsidR="008851E1">
        <w:t>(</w:t>
      </w:r>
      <w:r w:rsidR="2651D1B5" w:rsidRPr="2651D1B5">
        <w:t>Standards Bodies</w:t>
      </w:r>
      <w:r w:rsidR="00A21E09">
        <w:t xml:space="preserve"> to lead</w:t>
      </w:r>
      <w:r w:rsidR="008851E1">
        <w:t>)</w:t>
      </w:r>
    </w:p>
    <w:p w14:paraId="5550C072" w14:textId="08EF6FB6" w:rsidR="004E34E7" w:rsidRPr="006E409D" w:rsidRDefault="00A26FC0" w:rsidP="00E66254">
      <w:pPr>
        <w:pStyle w:val="ListParagraph"/>
        <w:ind w:left="0" w:firstLine="0"/>
      </w:pPr>
      <w:r w:rsidRPr="00D21EAB">
        <w:rPr>
          <w:b/>
          <w:bCs/>
        </w:rPr>
        <w:t>Recommendation 26.</w:t>
      </w:r>
      <w:r>
        <w:t xml:space="preserve"> </w:t>
      </w:r>
      <w:r w:rsidR="2651D1B5" w:rsidRPr="2651D1B5">
        <w:t>While retaining public insolvency registers, AiB should identify and implement any additional safeguards that may benefit more vulnerable people in debt who may appear on the registers. AiB should take steps to assure themselves the registers are accessible to smaller creditors and continue to learn from good practice elsewhere. (</w:t>
      </w:r>
      <w:r w:rsidR="00360B9E">
        <w:t>Justice</w:t>
      </w:r>
      <w:r w:rsidR="2651D1B5" w:rsidRPr="2651D1B5">
        <w:t>)</w:t>
      </w:r>
    </w:p>
    <w:p w14:paraId="0B743560" w14:textId="297BDF49" w:rsidR="001C4169" w:rsidRDefault="00A26FC0" w:rsidP="00E66254">
      <w:pPr>
        <w:pStyle w:val="ListParagraph"/>
        <w:ind w:left="0" w:firstLine="0"/>
      </w:pPr>
      <w:r w:rsidRPr="00D21EAB">
        <w:rPr>
          <w:b/>
          <w:bCs/>
        </w:rPr>
        <w:t>Recommendation 27.</w:t>
      </w:r>
      <w:r>
        <w:t xml:space="preserve"> </w:t>
      </w:r>
      <w:r w:rsidR="2651D1B5" w:rsidRPr="2651D1B5">
        <w:t xml:space="preserve">Local authorities, housing providers and the advice sector across Scotland should take inspiration from the examples we have shared demonstrating good practice in joining up services (see our response to question 3.14 in the </w:t>
      </w:r>
      <w:hyperlink r:id="rId25" w:history="1">
        <w:r w:rsidR="00491E93" w:rsidRPr="002E4742">
          <w:rPr>
            <w:rStyle w:val="Hyperlink"/>
          </w:rPr>
          <w:t>Feedback and Recommendations document</w:t>
        </w:r>
      </w:hyperlink>
      <w:r w:rsidR="2651D1B5" w:rsidRPr="2651D1B5">
        <w:t>). Advice commissioners in local and central government should also learn from the examples shared and ensure that their specifications and funding not only enable, but actively encourage, such approaches in future. (</w:t>
      </w:r>
      <w:r w:rsidR="00360B9E">
        <w:t>Justice and Future-focus</w:t>
      </w:r>
      <w:r w:rsidR="2651D1B5" w:rsidRPr="2651D1B5">
        <w:t xml:space="preserve">) </w:t>
      </w:r>
      <w:r w:rsidR="008851E1">
        <w:t>(</w:t>
      </w:r>
      <w:r w:rsidR="2651D1B5" w:rsidRPr="2651D1B5">
        <w:t>COSLA</w:t>
      </w:r>
      <w:r w:rsidR="00A21E09">
        <w:t xml:space="preserve"> to lead</w:t>
      </w:r>
      <w:r w:rsidR="008851E1">
        <w:t>)</w:t>
      </w:r>
    </w:p>
    <w:p w14:paraId="5C014F61" w14:textId="394F26B6" w:rsidR="003E2510" w:rsidRDefault="003E2510">
      <w:pPr>
        <w:spacing w:line="259" w:lineRule="auto"/>
      </w:pPr>
      <w:r>
        <w:br w:type="page"/>
      </w:r>
    </w:p>
    <w:p w14:paraId="6EA4E9F6" w14:textId="481EA505" w:rsidR="00161BFA" w:rsidRPr="006E409D" w:rsidRDefault="00A26FC0" w:rsidP="00E66254">
      <w:pPr>
        <w:pStyle w:val="ListParagraph"/>
        <w:ind w:left="0" w:firstLine="0"/>
      </w:pPr>
      <w:r w:rsidRPr="00D21EAB">
        <w:rPr>
          <w:b/>
          <w:bCs/>
        </w:rPr>
        <w:lastRenderedPageBreak/>
        <w:t>Recommendation 28.</w:t>
      </w:r>
      <w:r>
        <w:t xml:space="preserve"> </w:t>
      </w:r>
      <w:r w:rsidR="2651D1B5" w:rsidRPr="2651D1B5">
        <w:t>Scottish Government should widely disseminate learnings from the pilots it has funded to better join up services – including through existing AiB engagement structures. It should also collaborate with other funders to scale effective models across the country. Funding focused on connectivity should be ring-fenced for that purpose as part of our wider recommendation for innovation funding for the sector. (</w:t>
      </w:r>
      <w:r w:rsidR="00360B9E">
        <w:t>Justice and Future-focus</w:t>
      </w:r>
      <w:r w:rsidR="2651D1B5" w:rsidRPr="2651D1B5">
        <w:t xml:space="preserve">) </w:t>
      </w:r>
      <w:r w:rsidR="008851E1">
        <w:t>(</w:t>
      </w:r>
      <w:r w:rsidR="2651D1B5" w:rsidRPr="2651D1B5">
        <w:t>SG</w:t>
      </w:r>
      <w:r w:rsidR="00A21E09">
        <w:t xml:space="preserve"> to lead</w:t>
      </w:r>
      <w:r w:rsidR="008851E1">
        <w:t>)</w:t>
      </w:r>
    </w:p>
    <w:p w14:paraId="048A0195" w14:textId="4DE05DA8" w:rsidR="00891397" w:rsidRPr="006E409D" w:rsidRDefault="00A26FC0" w:rsidP="00E66254">
      <w:pPr>
        <w:pStyle w:val="ListParagraph"/>
        <w:ind w:left="0" w:firstLine="0"/>
      </w:pPr>
      <w:r w:rsidRPr="00D21EAB">
        <w:rPr>
          <w:b/>
          <w:bCs/>
        </w:rPr>
        <w:t>Recommendation 29.</w:t>
      </w:r>
      <w:r>
        <w:t xml:space="preserve"> </w:t>
      </w:r>
      <w:r w:rsidR="2651D1B5" w:rsidRPr="2651D1B5">
        <w:t xml:space="preserve">Learnings should be gathered from successful cancer navigation services – such as those provided by Macmillan at the Beatson in Glasgow </w:t>
      </w:r>
      <w:r w:rsidR="00240163">
        <w:t xml:space="preserve">– to </w:t>
      </w:r>
      <w:r w:rsidR="2651D1B5" w:rsidRPr="2651D1B5">
        <w:t>inform approaches to implement structurally similar services that have the potential to improve the accessibility of the insolvency regime. (</w:t>
      </w:r>
      <w:r w:rsidR="00360B9E">
        <w:t>Justice and Future-focus</w:t>
      </w:r>
      <w:r w:rsidR="2651D1B5" w:rsidRPr="2651D1B5">
        <w:t>)</w:t>
      </w:r>
    </w:p>
    <w:p w14:paraId="3E6CD7C2" w14:textId="1C57F825" w:rsidR="0B141456" w:rsidRPr="00BD7909" w:rsidRDefault="00A26FC0" w:rsidP="00E66254">
      <w:pPr>
        <w:pStyle w:val="ListParagraph"/>
        <w:ind w:left="0" w:firstLine="0"/>
        <w:rPr>
          <w:rFonts w:eastAsia="Aptos"/>
        </w:rPr>
      </w:pPr>
      <w:r w:rsidRPr="00D21EAB">
        <w:rPr>
          <w:b/>
          <w:bCs/>
        </w:rPr>
        <w:t>Recommendation 30.</w:t>
      </w:r>
      <w:r>
        <w:t xml:space="preserve"> </w:t>
      </w:r>
      <w:r w:rsidR="2651D1B5" w:rsidRPr="2651D1B5">
        <w:t>Scottish Government and COSLA should work together to learn from the approach being taken in Fife in at least two ways – how local authorities can better utilise their own internal data to better serve their residents directly and how that data can be used to foster more effective collaboration with their local advice sector. (</w:t>
      </w:r>
      <w:r w:rsidR="00360B9E">
        <w:t>Justice and Future-focus</w:t>
      </w:r>
      <w:r w:rsidR="2651D1B5" w:rsidRPr="2651D1B5">
        <w:t xml:space="preserve">) </w:t>
      </w:r>
      <w:r w:rsidR="008327C5">
        <w:t>(</w:t>
      </w:r>
      <w:r w:rsidR="2651D1B5" w:rsidRPr="2651D1B5">
        <w:t>SG and COSLA</w:t>
      </w:r>
      <w:r w:rsidR="00A21E09">
        <w:t xml:space="preserve"> to lead</w:t>
      </w:r>
      <w:r w:rsidR="008327C5">
        <w:t>)</w:t>
      </w:r>
    </w:p>
    <w:p w14:paraId="50DC4FB8" w14:textId="017DB1C7" w:rsidR="00E32F80" w:rsidRPr="006E409D" w:rsidRDefault="00A26FC0" w:rsidP="00E66254">
      <w:pPr>
        <w:pStyle w:val="ListParagraph"/>
        <w:ind w:left="0" w:firstLine="0"/>
      </w:pPr>
      <w:r w:rsidRPr="00D21EAB">
        <w:rPr>
          <w:b/>
          <w:bCs/>
        </w:rPr>
        <w:t>Recommendation 31.</w:t>
      </w:r>
      <w:r>
        <w:t xml:space="preserve"> </w:t>
      </w:r>
      <w:r w:rsidR="2651D1B5" w:rsidRPr="2651D1B5">
        <w:t>Through the structure of its funding across social justice domains, Scottish Government should encourage a ‘no wrong door’ approach across the advice sector. (</w:t>
      </w:r>
      <w:r w:rsidR="00360B9E">
        <w:t>Justice and Future-focus</w:t>
      </w:r>
      <w:r w:rsidR="2651D1B5" w:rsidRPr="2651D1B5">
        <w:t xml:space="preserve">) </w:t>
      </w:r>
      <w:r w:rsidR="008327C5">
        <w:t>(</w:t>
      </w:r>
      <w:r w:rsidR="2651D1B5" w:rsidRPr="2651D1B5">
        <w:t>SG</w:t>
      </w:r>
      <w:r w:rsidR="00A21E09">
        <w:t xml:space="preserve"> to lead</w:t>
      </w:r>
      <w:r w:rsidR="008327C5">
        <w:t>)</w:t>
      </w:r>
      <w:r w:rsidR="2651D1B5" w:rsidRPr="2651D1B5">
        <w:t xml:space="preserve"> </w:t>
      </w:r>
    </w:p>
    <w:p w14:paraId="02D276A1" w14:textId="29F88447" w:rsidR="00E32F80" w:rsidRPr="006E409D" w:rsidRDefault="00A26FC0" w:rsidP="00E66254">
      <w:pPr>
        <w:pStyle w:val="ListParagraph"/>
        <w:ind w:left="0" w:firstLine="0"/>
      </w:pPr>
      <w:r w:rsidRPr="00D21EAB">
        <w:rPr>
          <w:b/>
          <w:bCs/>
        </w:rPr>
        <w:t>Recommendation 32.</w:t>
      </w:r>
      <w:r>
        <w:t xml:space="preserve"> </w:t>
      </w:r>
      <w:r w:rsidR="2651D1B5" w:rsidRPr="2651D1B5">
        <w:t>A ‘no wrong door’ register should be developed and introduced. The model should be co-designed with potential beneficiaries, draw on existing good practice and be in place across the country within a year of this report’s publication. (</w:t>
      </w:r>
      <w:r w:rsidR="009F131D">
        <w:t>Justice and Future-focus</w:t>
      </w:r>
      <w:r w:rsidR="2651D1B5" w:rsidRPr="2651D1B5">
        <w:t>)</w:t>
      </w:r>
    </w:p>
    <w:p w14:paraId="7032B628" w14:textId="3DF772AE" w:rsidR="00BC50A5" w:rsidRDefault="00A26FC0" w:rsidP="00E66254">
      <w:pPr>
        <w:pStyle w:val="ListParagraph"/>
        <w:ind w:left="0" w:firstLine="0"/>
      </w:pPr>
      <w:r w:rsidRPr="00D21EAB">
        <w:rPr>
          <w:b/>
          <w:bCs/>
        </w:rPr>
        <w:t>Recommendation 33.</w:t>
      </w:r>
      <w:r>
        <w:t xml:space="preserve"> </w:t>
      </w:r>
      <w:r w:rsidR="2651D1B5" w:rsidRPr="2651D1B5">
        <w:t>Once a ‘no wrong door’ register has been established, an appropriately focused awareness-raising campaign, supported by relevant training, should take place with particular emphasis on ensuring that partners in healthcare and employability sectors are aware of how best to support patients and clients to access debt advice. (</w:t>
      </w:r>
      <w:r w:rsidR="009F131D">
        <w:t>Justice and Future-focus</w:t>
      </w:r>
      <w:r w:rsidR="2651D1B5" w:rsidRPr="2651D1B5">
        <w:t>)</w:t>
      </w:r>
    </w:p>
    <w:p w14:paraId="5E101AC0" w14:textId="2ADF127D" w:rsidR="003E2510" w:rsidRDefault="003E2510">
      <w:pPr>
        <w:spacing w:line="259" w:lineRule="auto"/>
      </w:pPr>
      <w:r>
        <w:br w:type="page"/>
      </w:r>
    </w:p>
    <w:p w14:paraId="1A22A300" w14:textId="2808CAF8" w:rsidR="00532C8E" w:rsidRPr="006E409D" w:rsidRDefault="00A26FC0" w:rsidP="00E66254">
      <w:pPr>
        <w:pStyle w:val="ListParagraph"/>
        <w:ind w:left="0" w:firstLine="0"/>
      </w:pPr>
      <w:r w:rsidRPr="00D21EAB">
        <w:rPr>
          <w:b/>
          <w:bCs/>
        </w:rPr>
        <w:lastRenderedPageBreak/>
        <w:t>Recommendation 34.</w:t>
      </w:r>
      <w:r>
        <w:t xml:space="preserve"> </w:t>
      </w:r>
      <w:r w:rsidR="2651D1B5" w:rsidRPr="2651D1B5">
        <w:t>Scottish Government should commission a feasibility study to consider design, engagement approach, technological requirements, legal structure and implementation strategy of a ‘tell us once’ initiative as a priority following the publication of this report. (</w:t>
      </w:r>
      <w:r w:rsidR="009F131D">
        <w:t>Justice</w:t>
      </w:r>
      <w:r w:rsidR="2651D1B5" w:rsidRPr="2651D1B5">
        <w:t xml:space="preserve">) </w:t>
      </w:r>
      <w:r w:rsidR="008327C5">
        <w:t>(</w:t>
      </w:r>
      <w:r w:rsidR="2651D1B5" w:rsidRPr="2651D1B5">
        <w:t>SG</w:t>
      </w:r>
      <w:r w:rsidR="00A21E09">
        <w:t xml:space="preserve"> to lead</w:t>
      </w:r>
      <w:r w:rsidR="008327C5">
        <w:t>)</w:t>
      </w:r>
    </w:p>
    <w:p w14:paraId="2E8C67EF" w14:textId="6224F8E9" w:rsidR="00C21B2A" w:rsidRPr="006E409D" w:rsidRDefault="00A26FC0" w:rsidP="00E66254">
      <w:pPr>
        <w:pStyle w:val="ListParagraph"/>
        <w:ind w:left="0" w:firstLine="0"/>
      </w:pPr>
      <w:r w:rsidRPr="00D21EAB">
        <w:rPr>
          <w:b/>
          <w:bCs/>
        </w:rPr>
        <w:t>Recommendation 35.</w:t>
      </w:r>
      <w:r>
        <w:t xml:space="preserve"> </w:t>
      </w:r>
      <w:r w:rsidR="2651D1B5" w:rsidRPr="2651D1B5">
        <w:t>Best practice in budgeting support should become the norm for IPs and across the advice sector. This will only need to be provided to clients however if a particular concern with budgeting has been identified through client engagement. (</w:t>
      </w:r>
      <w:r w:rsidR="009F131D">
        <w:t>Justice and Future-focus</w:t>
      </w:r>
      <w:r w:rsidR="2651D1B5" w:rsidRPr="2651D1B5">
        <w:t xml:space="preserve">) </w:t>
      </w:r>
      <w:r w:rsidR="008327C5">
        <w:t>(</w:t>
      </w:r>
      <w:r w:rsidR="2651D1B5" w:rsidRPr="2651D1B5">
        <w:t xml:space="preserve">RPBs and </w:t>
      </w:r>
      <w:r w:rsidR="008327C5">
        <w:t>a</w:t>
      </w:r>
      <w:r w:rsidR="2651D1B5" w:rsidRPr="2651D1B5">
        <w:t xml:space="preserve">dvice </w:t>
      </w:r>
      <w:r w:rsidR="008327C5">
        <w:t>p</w:t>
      </w:r>
      <w:r w:rsidR="2651D1B5" w:rsidRPr="2651D1B5">
        <w:t>roviders</w:t>
      </w:r>
      <w:r w:rsidR="00A21E09">
        <w:t xml:space="preserve"> to lead</w:t>
      </w:r>
      <w:r w:rsidR="008327C5">
        <w:t>)</w:t>
      </w:r>
    </w:p>
    <w:p w14:paraId="1F39EE3B" w14:textId="3FB26DFA" w:rsidR="008907EC" w:rsidRDefault="00A26FC0" w:rsidP="00E66254">
      <w:pPr>
        <w:pStyle w:val="ListParagraph"/>
        <w:ind w:left="0" w:firstLine="0"/>
      </w:pPr>
      <w:r w:rsidRPr="00D21EAB">
        <w:rPr>
          <w:b/>
          <w:bCs/>
        </w:rPr>
        <w:t>Recommendation 36.</w:t>
      </w:r>
      <w:r>
        <w:t xml:space="preserve"> </w:t>
      </w:r>
      <w:r w:rsidR="2651D1B5" w:rsidRPr="2651D1B5">
        <w:t>Scottish Government should mandate that people have received independent debt advice prior to being able to enter any formal debt solution</w:t>
      </w:r>
      <w:r w:rsidR="00BF35FB">
        <w:t>, including moratorium</w:t>
      </w:r>
      <w:r w:rsidR="2651D1B5" w:rsidRPr="2651D1B5">
        <w:t>. This should be advice provided by an FCA authorised provider, or one otherwise exempt from FCA regulation by law. The Scottish Government should require that the advice provided has all available solutions in scope, so people in debt are fully informed on the best possible solution(s) available to them. (</w:t>
      </w:r>
      <w:r w:rsidR="00D607A6">
        <w:t>Justice, Responsibility and Future-focus</w:t>
      </w:r>
      <w:r w:rsidR="2651D1B5" w:rsidRPr="2651D1B5">
        <w:t xml:space="preserve">) </w:t>
      </w:r>
      <w:r w:rsidR="008327C5">
        <w:t>(</w:t>
      </w:r>
      <w:r w:rsidR="2651D1B5" w:rsidRPr="2651D1B5">
        <w:t>SG</w:t>
      </w:r>
      <w:r w:rsidR="00A21E09">
        <w:t xml:space="preserve"> to lead</w:t>
      </w:r>
      <w:r w:rsidR="008327C5">
        <w:t>)</w:t>
      </w:r>
    </w:p>
    <w:p w14:paraId="6AAD2F91" w14:textId="3B22B33B" w:rsidR="00E711AD" w:rsidRPr="006E409D" w:rsidRDefault="00A26FC0" w:rsidP="00E66254">
      <w:pPr>
        <w:pStyle w:val="ListParagraph"/>
        <w:ind w:left="0" w:firstLine="0"/>
      </w:pPr>
      <w:r w:rsidRPr="00D21EAB">
        <w:rPr>
          <w:b/>
          <w:bCs/>
        </w:rPr>
        <w:t>Recommendation 37.</w:t>
      </w:r>
      <w:r>
        <w:t xml:space="preserve"> </w:t>
      </w:r>
      <w:r w:rsidR="2651D1B5" w:rsidRPr="2651D1B5">
        <w:t>Protected Trust Deed (PTD) providers should review their client journey models to consider how they could be leveraged during the period a client is in a PTD to provide support, if necessary, on money management and budgeting. All PTD providers should have clear means to identify any money management and budgeting needs amongst their client group. DPP providers should make similar reviews of their client journeys. (</w:t>
      </w:r>
      <w:r w:rsidR="00D607A6">
        <w:t xml:space="preserve">Justice and </w:t>
      </w:r>
      <w:r w:rsidR="008B215F">
        <w:t>Future-focus</w:t>
      </w:r>
      <w:r w:rsidR="2651D1B5" w:rsidRPr="2651D1B5">
        <w:t xml:space="preserve">) </w:t>
      </w:r>
      <w:r w:rsidR="008327C5">
        <w:t>(</w:t>
      </w:r>
      <w:r w:rsidR="2651D1B5" w:rsidRPr="2651D1B5">
        <w:t xml:space="preserve">IPs and </w:t>
      </w:r>
      <w:r w:rsidR="008327C5">
        <w:t>a</w:t>
      </w:r>
      <w:r w:rsidR="2651D1B5" w:rsidRPr="2651D1B5">
        <w:t xml:space="preserve">dvice </w:t>
      </w:r>
      <w:r w:rsidR="008327C5">
        <w:t>p</w:t>
      </w:r>
      <w:r w:rsidR="2651D1B5" w:rsidRPr="2651D1B5">
        <w:t>roviders</w:t>
      </w:r>
      <w:r w:rsidR="00A21E09">
        <w:t xml:space="preserve"> to lead</w:t>
      </w:r>
      <w:r w:rsidR="008327C5">
        <w:t>)</w:t>
      </w:r>
    </w:p>
    <w:p w14:paraId="33E652DF" w14:textId="50A01536" w:rsidR="003E2510" w:rsidRDefault="00A26FC0" w:rsidP="003E2510">
      <w:pPr>
        <w:pStyle w:val="ListParagraph"/>
        <w:ind w:left="0" w:firstLine="0"/>
      </w:pPr>
      <w:r w:rsidRPr="00D21EAB">
        <w:rPr>
          <w:b/>
          <w:bCs/>
        </w:rPr>
        <w:t>Recommendation 38.</w:t>
      </w:r>
      <w:r>
        <w:t xml:space="preserve"> </w:t>
      </w:r>
      <w:r w:rsidR="2651D1B5" w:rsidRPr="2651D1B5">
        <w:t>When the Statement of Insolvency Practice (SIP) 3.3 is next reviewed, a focused paragraph on how and when to provide money management and budgeting advice during the period in which the IP is acting as an adviser should be added. (</w:t>
      </w:r>
      <w:r w:rsidR="008B215F">
        <w:t>Justice and Future-focus</w:t>
      </w:r>
      <w:r w:rsidR="2651D1B5" w:rsidRPr="2651D1B5">
        <w:t xml:space="preserve">) </w:t>
      </w:r>
      <w:r w:rsidR="00B838B7">
        <w:t>(</w:t>
      </w:r>
      <w:r w:rsidR="2651D1B5" w:rsidRPr="2651D1B5">
        <w:t>RPBs</w:t>
      </w:r>
      <w:r w:rsidR="00A21E09">
        <w:t xml:space="preserve"> to lead</w:t>
      </w:r>
      <w:r w:rsidR="00B838B7">
        <w:t>)</w:t>
      </w:r>
    </w:p>
    <w:p w14:paraId="334DE1C6" w14:textId="77777777" w:rsidR="003E2510" w:rsidRPr="006E409D" w:rsidRDefault="003E2510" w:rsidP="003E2510">
      <w:pPr>
        <w:pStyle w:val="ListParagraph"/>
        <w:ind w:left="0" w:firstLine="0"/>
      </w:pPr>
    </w:p>
    <w:p w14:paraId="2FDA4445" w14:textId="4192270C" w:rsidR="003054F7" w:rsidRPr="006E409D" w:rsidRDefault="003054F7" w:rsidP="00F76CA6">
      <w:pPr>
        <w:pStyle w:val="Heading2"/>
      </w:pPr>
      <w:bookmarkStart w:id="52" w:name="_Toc192174687"/>
      <w:bookmarkStart w:id="53" w:name="_Toc192588866"/>
      <w:bookmarkStart w:id="54" w:name="_Toc222222322"/>
      <w:bookmarkStart w:id="55" w:name="_Toc224203497"/>
      <w:bookmarkStart w:id="56" w:name="_Toc224203528"/>
      <w:r w:rsidRPr="006E409D">
        <w:lastRenderedPageBreak/>
        <w:t>The ‘Market’ for Delivering Advice and Solutions in Scotland</w:t>
      </w:r>
      <w:bookmarkEnd w:id="52"/>
      <w:bookmarkEnd w:id="53"/>
      <w:bookmarkEnd w:id="54"/>
      <w:bookmarkEnd w:id="55"/>
      <w:bookmarkEnd w:id="56"/>
    </w:p>
    <w:p w14:paraId="76CC6C89" w14:textId="18D4AD35" w:rsidR="00F305F3" w:rsidRPr="006E409D" w:rsidRDefault="00A26FC0" w:rsidP="00E66254">
      <w:pPr>
        <w:pStyle w:val="ListParagraph"/>
        <w:ind w:left="0" w:firstLine="0"/>
      </w:pPr>
      <w:r w:rsidRPr="00D21EAB">
        <w:rPr>
          <w:b/>
          <w:bCs/>
        </w:rPr>
        <w:t>Recommendation 39.</w:t>
      </w:r>
      <w:r>
        <w:t xml:space="preserve"> </w:t>
      </w:r>
      <w:r w:rsidR="2651D1B5" w:rsidRPr="2651D1B5">
        <w:t>Increased partnership working between the ‘free’ and commercial sectors should be enabled, including more forums for the two sectors to liaise, identify partnership opportunities and share good practice. Specifically, Scottish Government should introduce an initiative to support new IPs being trained within the charitable sector, with support and mentorship from the commercial sector. (</w:t>
      </w:r>
      <w:r w:rsidR="002B4B5D">
        <w:t>Justice and Future-focus</w:t>
      </w:r>
      <w:r w:rsidR="2651D1B5" w:rsidRPr="2651D1B5">
        <w:t xml:space="preserve">) </w:t>
      </w:r>
      <w:r w:rsidR="00B838B7">
        <w:t>(</w:t>
      </w:r>
      <w:r w:rsidR="2651D1B5" w:rsidRPr="2651D1B5">
        <w:t>SG</w:t>
      </w:r>
      <w:r w:rsidR="00A21E09">
        <w:t xml:space="preserve"> to lead</w:t>
      </w:r>
      <w:r w:rsidR="00B838B7">
        <w:t>)</w:t>
      </w:r>
    </w:p>
    <w:p w14:paraId="352AE2C6" w14:textId="6C0B7B96" w:rsidR="008E6C29" w:rsidRPr="006E409D" w:rsidRDefault="00A26FC0" w:rsidP="00E66254">
      <w:pPr>
        <w:pStyle w:val="ListParagraph"/>
        <w:ind w:left="0" w:firstLine="0"/>
      </w:pPr>
      <w:r w:rsidRPr="00D21EAB">
        <w:rPr>
          <w:b/>
          <w:bCs/>
        </w:rPr>
        <w:t>Recommendation 40.</w:t>
      </w:r>
      <w:r>
        <w:t xml:space="preserve"> </w:t>
      </w:r>
      <w:r w:rsidR="2651D1B5" w:rsidRPr="2651D1B5">
        <w:t xml:space="preserve">AiB should commission research into the PTD market that takes a similar approach to recent research from the Insolvency Service into Individual Voluntary Arrangements. While the broad methodology set out by the Insolvency Service provides a helpful template, we recommend that the following enhancements are made: </w:t>
      </w:r>
    </w:p>
    <w:p w14:paraId="6BE0B230" w14:textId="77777777" w:rsidR="008E6C29" w:rsidRPr="006E409D" w:rsidRDefault="008E6C29" w:rsidP="00161EA7">
      <w:pPr>
        <w:pStyle w:val="ListParagraph"/>
        <w:numPr>
          <w:ilvl w:val="0"/>
          <w:numId w:val="18"/>
        </w:numPr>
        <w:spacing w:after="0"/>
      </w:pPr>
      <w:r w:rsidRPr="006E409D">
        <w:t xml:space="preserve">Sample to additionally include PTDs that are ongoing, with results stratified by duration </w:t>
      </w:r>
    </w:p>
    <w:p w14:paraId="529A6244" w14:textId="77777777" w:rsidR="008E6C29" w:rsidRPr="006E409D" w:rsidRDefault="008E6C29" w:rsidP="00161EA7">
      <w:pPr>
        <w:pStyle w:val="ListParagraph"/>
        <w:numPr>
          <w:ilvl w:val="0"/>
          <w:numId w:val="18"/>
        </w:numPr>
        <w:spacing w:after="0"/>
      </w:pPr>
      <w:r w:rsidRPr="006E409D">
        <w:t xml:space="preserve">Sample to additionally include PTDs that have been successfully completed </w:t>
      </w:r>
    </w:p>
    <w:p w14:paraId="560C94AC" w14:textId="3C15B8EE" w:rsidR="008E6C29" w:rsidRPr="006E409D" w:rsidRDefault="005D5B6E" w:rsidP="00161EA7">
      <w:pPr>
        <w:pStyle w:val="ListParagraph"/>
        <w:numPr>
          <w:ilvl w:val="0"/>
          <w:numId w:val="18"/>
        </w:numPr>
      </w:pPr>
      <w:r w:rsidRPr="006E409D">
        <w:t>The p</w:t>
      </w:r>
      <w:r w:rsidR="008E6C29" w:rsidRPr="006E409D">
        <w:t xml:space="preserve">eriod from which sample is drawn to be expanded to at least five years </w:t>
      </w:r>
    </w:p>
    <w:p w14:paraId="6A379FA0" w14:textId="563986BB" w:rsidR="008907EC" w:rsidRPr="006E409D" w:rsidRDefault="21385EED" w:rsidP="002B4B5D">
      <w:r w:rsidRPr="21385EED">
        <w:t>In preparing for the proposed research</w:t>
      </w:r>
      <w:r w:rsidR="00AE54AE">
        <w:t xml:space="preserve">, </w:t>
      </w:r>
      <w:r w:rsidRPr="21385EED">
        <w:t>AiB should briefly consult on a draft scope with sector stakeholders to build confidence in the exercise and its results. (</w:t>
      </w:r>
      <w:r w:rsidR="002B4B5D">
        <w:t>Justice and Responsibility</w:t>
      </w:r>
      <w:r w:rsidRPr="21385EED">
        <w:t>)</w:t>
      </w:r>
    </w:p>
    <w:p w14:paraId="39D04A03" w14:textId="77F2A67F" w:rsidR="00677A43" w:rsidRPr="006E409D" w:rsidRDefault="00A26FC0" w:rsidP="00E66254">
      <w:pPr>
        <w:pStyle w:val="ListParagraph"/>
        <w:ind w:left="0" w:firstLine="0"/>
      </w:pPr>
      <w:r w:rsidRPr="00D21EAB">
        <w:rPr>
          <w:b/>
          <w:bCs/>
        </w:rPr>
        <w:t>Recommendation 41.</w:t>
      </w:r>
      <w:r>
        <w:t xml:space="preserve"> </w:t>
      </w:r>
      <w:r w:rsidR="2651D1B5" w:rsidRPr="2651D1B5">
        <w:t>AiB should maintain its focus on market intelligence and develop contingency plans should it need to take a greater operational role in the market. AiB should prepare plans for rapidly coordinating the advice sector, should it need to manage a transfer of clients to the free sector in the event of market exit by ‘for profit’ providers. (</w:t>
      </w:r>
      <w:r w:rsidR="00B83318">
        <w:t>Justice</w:t>
      </w:r>
      <w:r w:rsidR="2651D1B5" w:rsidRPr="2651D1B5">
        <w:t>)</w:t>
      </w:r>
    </w:p>
    <w:p w14:paraId="2D63038C" w14:textId="6462348F" w:rsidR="001C21DC" w:rsidRPr="006E409D" w:rsidRDefault="00A26FC0" w:rsidP="00E66254">
      <w:pPr>
        <w:pStyle w:val="ListParagraph"/>
        <w:ind w:left="0" w:firstLine="0"/>
      </w:pPr>
      <w:r w:rsidRPr="00D21EAB">
        <w:rPr>
          <w:b/>
          <w:bCs/>
        </w:rPr>
        <w:t>Recommendation 42.</w:t>
      </w:r>
      <w:r>
        <w:t xml:space="preserve"> </w:t>
      </w:r>
      <w:r w:rsidR="2651D1B5" w:rsidRPr="2651D1B5">
        <w:t xml:space="preserve">The Scottish Government should establish an independently led expert cross-sector working group, including representation from </w:t>
      </w:r>
      <w:proofErr w:type="spellStart"/>
      <w:r w:rsidR="2651D1B5" w:rsidRPr="2651D1B5">
        <w:t>MaPS</w:t>
      </w:r>
      <w:proofErr w:type="spellEnd"/>
      <w:r w:rsidR="2651D1B5" w:rsidRPr="2651D1B5">
        <w:t>, to take forward a comprehensive study into the need for debt advice across Scotland. Its terms of reference should include establishing both the need and demand for debt advice across Scotland. (</w:t>
      </w:r>
      <w:r w:rsidR="00B83318">
        <w:t>Justice and Future-focus</w:t>
      </w:r>
      <w:r w:rsidR="2651D1B5" w:rsidRPr="2651D1B5">
        <w:t xml:space="preserve">) </w:t>
      </w:r>
      <w:r w:rsidR="007268B8">
        <w:t>(</w:t>
      </w:r>
      <w:r w:rsidR="2651D1B5" w:rsidRPr="2651D1B5">
        <w:t>SG</w:t>
      </w:r>
      <w:r w:rsidR="00A21E09">
        <w:t xml:space="preserve"> to lead</w:t>
      </w:r>
      <w:r w:rsidR="007268B8">
        <w:t>)</w:t>
      </w:r>
    </w:p>
    <w:p w14:paraId="657F52DD" w14:textId="7BB0E52E" w:rsidR="00494A73" w:rsidRPr="006E409D" w:rsidRDefault="00A26FC0" w:rsidP="00E66254">
      <w:pPr>
        <w:pStyle w:val="ListParagraph"/>
        <w:ind w:left="0" w:firstLine="0"/>
      </w:pPr>
      <w:r w:rsidRPr="00D21EAB">
        <w:rPr>
          <w:b/>
          <w:bCs/>
        </w:rPr>
        <w:lastRenderedPageBreak/>
        <w:t>Recommendation 43.</w:t>
      </w:r>
      <w:r>
        <w:t xml:space="preserve"> </w:t>
      </w:r>
      <w:r w:rsidR="2651D1B5" w:rsidRPr="2651D1B5">
        <w:t>The Scottish Government should raise the need for a review of the existing debt advice levy with HM Treasury with the aim of conducting such a review together. The goal of such a review should be to find a workable approach to expanding the scope of contributors to the debt advice levy. If discussions are not fruitful in the short term, then the Scottish Government should commission its own review and publish the results. (</w:t>
      </w:r>
      <w:r w:rsidR="00B83318">
        <w:t>Justice and Future-focus</w:t>
      </w:r>
      <w:r w:rsidR="2651D1B5" w:rsidRPr="2651D1B5">
        <w:t xml:space="preserve">) </w:t>
      </w:r>
      <w:r w:rsidR="007268B8">
        <w:t>(</w:t>
      </w:r>
      <w:r w:rsidR="2651D1B5" w:rsidRPr="2651D1B5">
        <w:t>SG</w:t>
      </w:r>
      <w:r w:rsidR="00A21E09">
        <w:t xml:space="preserve"> to lead</w:t>
      </w:r>
      <w:r w:rsidR="007268B8">
        <w:t>)</w:t>
      </w:r>
    </w:p>
    <w:p w14:paraId="6C828BF1" w14:textId="5119BEE5" w:rsidR="009958E5" w:rsidRPr="006E409D" w:rsidRDefault="00A26FC0" w:rsidP="00E66254">
      <w:pPr>
        <w:pStyle w:val="ListParagraph"/>
        <w:ind w:left="0" w:firstLine="0"/>
      </w:pPr>
      <w:r w:rsidRPr="00D21EAB">
        <w:rPr>
          <w:b/>
          <w:bCs/>
        </w:rPr>
        <w:t xml:space="preserve">Recommendation 44. </w:t>
      </w:r>
      <w:r w:rsidR="2651D1B5" w:rsidRPr="2651D1B5">
        <w:t>The Scottish Government should establish a working group, including technology companies and representatives of FinTech Scotland, to advise them on areas for technological investment with an initial focus on investments to support smoother integration of income maximisation tools, increased client engagement and more sophisticated case management approaches. (</w:t>
      </w:r>
      <w:r w:rsidR="00B83318">
        <w:t>Justice and Responsibility</w:t>
      </w:r>
      <w:r w:rsidR="2651D1B5" w:rsidRPr="2651D1B5">
        <w:t xml:space="preserve">) </w:t>
      </w:r>
      <w:r w:rsidR="007268B8">
        <w:t>(</w:t>
      </w:r>
      <w:r w:rsidR="2651D1B5" w:rsidRPr="2651D1B5">
        <w:t>SG</w:t>
      </w:r>
      <w:r w:rsidR="00A21E09">
        <w:t xml:space="preserve"> to lead</w:t>
      </w:r>
      <w:r w:rsidR="007268B8">
        <w:t>)</w:t>
      </w:r>
    </w:p>
    <w:p w14:paraId="599301BC" w14:textId="7F6CDC6E" w:rsidR="00930318" w:rsidRPr="006E409D" w:rsidRDefault="00A26FC0" w:rsidP="00E66254">
      <w:pPr>
        <w:pStyle w:val="ListParagraph"/>
        <w:ind w:left="0" w:firstLine="0"/>
      </w:pPr>
      <w:r w:rsidRPr="00D21EAB">
        <w:rPr>
          <w:b/>
          <w:bCs/>
        </w:rPr>
        <w:t>Recommendation 45.</w:t>
      </w:r>
      <w:r>
        <w:t xml:space="preserve"> </w:t>
      </w:r>
      <w:r w:rsidR="2651D1B5" w:rsidRPr="2651D1B5">
        <w:t>AiB should convene a group of advice sector representatives so they can confidentially share the concerns that were raised in their responses to this review about inappropriately completed income and expenditure assessments and inappropriately recommended solutions. (</w:t>
      </w:r>
      <w:r w:rsidR="00B83318">
        <w:t>Justice</w:t>
      </w:r>
      <w:r w:rsidR="2651D1B5" w:rsidRPr="2651D1B5">
        <w:t>)</w:t>
      </w:r>
    </w:p>
    <w:p w14:paraId="080AEC7E" w14:textId="0E51738E" w:rsidR="006A1D7F" w:rsidRPr="006E409D" w:rsidRDefault="00A26FC0" w:rsidP="00E66254">
      <w:pPr>
        <w:pStyle w:val="ListParagraph"/>
        <w:ind w:left="0" w:firstLine="0"/>
      </w:pPr>
      <w:r w:rsidRPr="00D21EAB">
        <w:rPr>
          <w:b/>
          <w:bCs/>
        </w:rPr>
        <w:t xml:space="preserve">Recommendation 46. </w:t>
      </w:r>
      <w:r w:rsidR="2651D1B5" w:rsidRPr="2651D1B5">
        <w:t>All solutions providers should review their discharge processes and ensure that appropriate support on transition is provided to clients. (</w:t>
      </w:r>
      <w:r w:rsidR="00B83318">
        <w:t>Justice and Future-focus</w:t>
      </w:r>
      <w:r w:rsidR="2651D1B5" w:rsidRPr="2651D1B5">
        <w:t>)</w:t>
      </w:r>
    </w:p>
    <w:p w14:paraId="00FC89E0" w14:textId="17849DAB" w:rsidR="00787AEF" w:rsidRPr="006E409D" w:rsidRDefault="00A26FC0" w:rsidP="00E66254">
      <w:pPr>
        <w:pStyle w:val="ListParagraph"/>
        <w:ind w:left="0" w:firstLine="0"/>
      </w:pPr>
      <w:r w:rsidRPr="00D21EAB">
        <w:rPr>
          <w:b/>
          <w:bCs/>
        </w:rPr>
        <w:t>Recommendation 47.</w:t>
      </w:r>
      <w:r>
        <w:t xml:space="preserve"> </w:t>
      </w:r>
      <w:r w:rsidR="2651D1B5" w:rsidRPr="2651D1B5">
        <w:t xml:space="preserve">For money guidance provision being made available to people during and as they exit insolvency solutions, </w:t>
      </w:r>
      <w:proofErr w:type="spellStart"/>
      <w:r w:rsidR="2651D1B5" w:rsidRPr="2651D1B5">
        <w:t>MaPS</w:t>
      </w:r>
      <w:proofErr w:type="spellEnd"/>
      <w:r w:rsidR="2651D1B5" w:rsidRPr="2651D1B5">
        <w:t xml:space="preserve"> should work with AiB and solutions providers to explore both how to incorporate its existing resources and develop new, tailored approaches. (</w:t>
      </w:r>
      <w:r w:rsidR="00793FA0">
        <w:t>Justice and Future-focus</w:t>
      </w:r>
      <w:r w:rsidR="2651D1B5" w:rsidRPr="2651D1B5">
        <w:t xml:space="preserve">) </w:t>
      </w:r>
      <w:r w:rsidR="007268B8">
        <w:t>(</w:t>
      </w:r>
      <w:proofErr w:type="spellStart"/>
      <w:r w:rsidR="2651D1B5" w:rsidRPr="2651D1B5">
        <w:t>MaPS</w:t>
      </w:r>
      <w:proofErr w:type="spellEnd"/>
      <w:r w:rsidR="00A21E09">
        <w:t xml:space="preserve"> to lead</w:t>
      </w:r>
      <w:r w:rsidR="007268B8">
        <w:t>)</w:t>
      </w:r>
    </w:p>
    <w:p w14:paraId="371379B0" w14:textId="70B8DED6" w:rsidR="00F73857" w:rsidRPr="006E409D" w:rsidRDefault="00F73857" w:rsidP="00F76CA6">
      <w:pPr>
        <w:pStyle w:val="Heading2"/>
      </w:pPr>
      <w:bookmarkStart w:id="57" w:name="_Toc222222323"/>
      <w:bookmarkStart w:id="58" w:name="_Toc224203498"/>
      <w:bookmarkStart w:id="59" w:name="_Toc224203529"/>
      <w:r w:rsidRPr="006E409D">
        <w:t xml:space="preserve">The </w:t>
      </w:r>
      <w:r w:rsidR="001A2B56">
        <w:t>R</w:t>
      </w:r>
      <w:r w:rsidRPr="006E409D">
        <w:t>ole of AiB</w:t>
      </w:r>
      <w:bookmarkEnd w:id="57"/>
      <w:bookmarkEnd w:id="58"/>
      <w:bookmarkEnd w:id="59"/>
    </w:p>
    <w:p w14:paraId="0FEB8096" w14:textId="04F5EAAC" w:rsidR="00D03E79" w:rsidRPr="006E409D" w:rsidRDefault="00A26FC0" w:rsidP="00E66254">
      <w:pPr>
        <w:pStyle w:val="ListParagraph"/>
        <w:ind w:left="0" w:firstLine="0"/>
      </w:pPr>
      <w:r w:rsidRPr="00D21EAB">
        <w:rPr>
          <w:b/>
          <w:bCs/>
        </w:rPr>
        <w:t>Recommendation 48.</w:t>
      </w:r>
      <w:r>
        <w:t xml:space="preserve"> </w:t>
      </w:r>
      <w:r w:rsidR="2651D1B5" w:rsidRPr="2651D1B5">
        <w:t>AiB should continue to be mindful of managing the risks of conflicts of interest occurring across its varied roles as well as considering the potential for perceived conflicts of interest when it is communicating about its work. (</w:t>
      </w:r>
      <w:r w:rsidR="00793FA0">
        <w:t>Justice</w:t>
      </w:r>
      <w:r w:rsidR="2651D1B5" w:rsidRPr="2651D1B5">
        <w:t>)</w:t>
      </w:r>
    </w:p>
    <w:p w14:paraId="68576E75" w14:textId="4DEC8511" w:rsidR="00F13CD6" w:rsidRPr="006E409D" w:rsidRDefault="007C1B34" w:rsidP="00F76CA6">
      <w:pPr>
        <w:pStyle w:val="Heading2"/>
      </w:pPr>
      <w:bookmarkStart w:id="60" w:name="_Toc222222324"/>
      <w:bookmarkStart w:id="61" w:name="_Toc224203499"/>
      <w:bookmarkStart w:id="62" w:name="_Toc224203530"/>
      <w:r w:rsidRPr="006E409D">
        <w:lastRenderedPageBreak/>
        <w:t xml:space="preserve">Access to </w:t>
      </w:r>
      <w:r w:rsidR="001A2B56">
        <w:t>I</w:t>
      </w:r>
      <w:r w:rsidRPr="006E409D">
        <w:t xml:space="preserve">nsolvency for </w:t>
      </w:r>
      <w:r w:rsidR="001A2B56">
        <w:t>S</w:t>
      </w:r>
      <w:r w:rsidRPr="006E409D">
        <w:t>elf-</w:t>
      </w:r>
      <w:r w:rsidR="001A2B56">
        <w:t>E</w:t>
      </w:r>
      <w:r w:rsidRPr="006E409D">
        <w:t xml:space="preserve">mployed </w:t>
      </w:r>
      <w:r w:rsidR="001A2B56">
        <w:t>P</w:t>
      </w:r>
      <w:r w:rsidRPr="006E409D">
        <w:t xml:space="preserve">eople and </w:t>
      </w:r>
      <w:r w:rsidR="001A2B56">
        <w:t>S</w:t>
      </w:r>
      <w:r w:rsidRPr="006E409D">
        <w:t xml:space="preserve">mall </w:t>
      </w:r>
      <w:r w:rsidR="001A2B56">
        <w:t>B</w:t>
      </w:r>
      <w:r w:rsidRPr="006E409D">
        <w:t xml:space="preserve">usiness </w:t>
      </w:r>
      <w:r w:rsidR="001A2B56">
        <w:t>O</w:t>
      </w:r>
      <w:r w:rsidRPr="006E409D">
        <w:t>wners</w:t>
      </w:r>
      <w:bookmarkEnd w:id="60"/>
      <w:bookmarkEnd w:id="61"/>
      <w:bookmarkEnd w:id="62"/>
      <w:r w:rsidRPr="006E409D">
        <w:t xml:space="preserve"> </w:t>
      </w:r>
    </w:p>
    <w:p w14:paraId="27271928" w14:textId="07483C0F" w:rsidR="00B21231" w:rsidRPr="006E409D" w:rsidRDefault="00A26FC0" w:rsidP="00E66254">
      <w:pPr>
        <w:pStyle w:val="ListParagraph"/>
        <w:ind w:left="0" w:firstLine="0"/>
      </w:pPr>
      <w:r w:rsidRPr="00D21EAB">
        <w:rPr>
          <w:b/>
          <w:bCs/>
        </w:rPr>
        <w:t xml:space="preserve">Recommendation 49. </w:t>
      </w:r>
      <w:r w:rsidR="2651D1B5" w:rsidRPr="2651D1B5">
        <w:t>The Scottish Government should discuss widening the purpose of the debt advice levy with HM Treasury and the FCA, to include additional funds dedicated to providing advice to small businesses in financial difficulties. (</w:t>
      </w:r>
      <w:r w:rsidR="00793FA0">
        <w:t>Justice and Future-focus</w:t>
      </w:r>
      <w:r w:rsidR="2651D1B5" w:rsidRPr="2651D1B5">
        <w:t xml:space="preserve">) </w:t>
      </w:r>
      <w:r w:rsidR="00626BC4">
        <w:t>(</w:t>
      </w:r>
      <w:r w:rsidR="2651D1B5" w:rsidRPr="2651D1B5">
        <w:t>SG</w:t>
      </w:r>
      <w:r w:rsidR="00A21E09">
        <w:t xml:space="preserve"> to lead</w:t>
      </w:r>
      <w:r w:rsidR="00626BC4">
        <w:t>)</w:t>
      </w:r>
    </w:p>
    <w:p w14:paraId="6BBA1D77" w14:textId="4BFC86F2" w:rsidR="00FB49DA" w:rsidRPr="006E409D" w:rsidRDefault="00A26FC0" w:rsidP="00E66254">
      <w:pPr>
        <w:pStyle w:val="ListParagraph"/>
        <w:ind w:left="0" w:firstLine="0"/>
      </w:pPr>
      <w:r w:rsidRPr="00D21EAB">
        <w:rPr>
          <w:b/>
          <w:bCs/>
        </w:rPr>
        <w:t>Recommendation 50.</w:t>
      </w:r>
      <w:r>
        <w:t xml:space="preserve"> </w:t>
      </w:r>
      <w:r w:rsidR="2651D1B5" w:rsidRPr="2651D1B5">
        <w:t>As an interim measure, owing to significant unmet demand, additional funding should be provided by the Scottish Government to services that offer free independent debt advice to small businesses, with incentives to ensure advice is available across all relevant channels. (</w:t>
      </w:r>
      <w:r w:rsidR="00793FA0">
        <w:t>Justice and Future-focus</w:t>
      </w:r>
      <w:r w:rsidR="2651D1B5" w:rsidRPr="2651D1B5">
        <w:t xml:space="preserve">) </w:t>
      </w:r>
      <w:r w:rsidR="00626BC4">
        <w:t>(</w:t>
      </w:r>
      <w:r w:rsidR="2651D1B5" w:rsidRPr="2651D1B5">
        <w:t>SG</w:t>
      </w:r>
      <w:r w:rsidR="00A21E09">
        <w:t xml:space="preserve"> to lead</w:t>
      </w:r>
      <w:r w:rsidR="00626BC4">
        <w:t>)</w:t>
      </w:r>
    </w:p>
    <w:p w14:paraId="750D0C53" w14:textId="76969F79" w:rsidR="009951CF" w:rsidRPr="006E409D" w:rsidRDefault="00A26FC0" w:rsidP="00E66254">
      <w:pPr>
        <w:pStyle w:val="ListParagraph"/>
        <w:ind w:left="0" w:firstLine="0"/>
      </w:pPr>
      <w:r w:rsidRPr="00D21EAB">
        <w:rPr>
          <w:b/>
          <w:bCs/>
        </w:rPr>
        <w:t>Recommendation 51.</w:t>
      </w:r>
      <w:r>
        <w:t xml:space="preserve"> </w:t>
      </w:r>
      <w:r w:rsidR="2651D1B5" w:rsidRPr="2651D1B5">
        <w:t>A new or amended solution to more effectively support self-employed small business owners in Scotland should be developed and introduced. This process should be collaborative and led by AiB. (</w:t>
      </w:r>
      <w:r w:rsidR="0061377D">
        <w:t>Justice, Responsibility and Future-focus</w:t>
      </w:r>
      <w:r w:rsidR="2651D1B5" w:rsidRPr="2651D1B5">
        <w:t>)</w:t>
      </w:r>
    </w:p>
    <w:p w14:paraId="4A13C4B1" w14:textId="5FF0E77E" w:rsidR="00957612" w:rsidRPr="006E409D" w:rsidRDefault="00EB1134" w:rsidP="00E66254">
      <w:pPr>
        <w:pStyle w:val="ListParagraph"/>
        <w:ind w:left="0" w:firstLine="0"/>
      </w:pPr>
      <w:r w:rsidRPr="00D21EAB">
        <w:rPr>
          <w:b/>
          <w:bCs/>
        </w:rPr>
        <w:t>Recommendation 52.</w:t>
      </w:r>
      <w:r>
        <w:t xml:space="preserve"> </w:t>
      </w:r>
      <w:r w:rsidR="2651D1B5" w:rsidRPr="2651D1B5">
        <w:t xml:space="preserve">The features highlighted in the </w:t>
      </w:r>
      <w:hyperlink r:id="rId26" w:history="1">
        <w:r w:rsidR="00491E93" w:rsidRPr="002E4742">
          <w:rPr>
            <w:rStyle w:val="Hyperlink"/>
          </w:rPr>
          <w:t>Feedback and Recommendations document</w:t>
        </w:r>
      </w:hyperlink>
      <w:r w:rsidR="2651D1B5" w:rsidRPr="2651D1B5">
        <w:t xml:space="preserve"> should serve as a starting </w:t>
      </w:r>
      <w:r w:rsidR="00976524">
        <w:t>point</w:t>
      </w:r>
      <w:r w:rsidR="2651D1B5" w:rsidRPr="2651D1B5">
        <w:t xml:space="preserve"> for the co-design process we propose for a new or amended solution. (</w:t>
      </w:r>
      <w:r w:rsidR="0061377D">
        <w:t>Justice, Responsibility and Future-focus</w:t>
      </w:r>
      <w:r w:rsidR="2651D1B5" w:rsidRPr="2651D1B5">
        <w:t>)</w:t>
      </w:r>
    </w:p>
    <w:sectPr w:rsidR="00957612" w:rsidRPr="006E409D" w:rsidSect="002917E9">
      <w:headerReference w:type="default" r:id="rId27"/>
      <w:footerReference w:type="default" r:id="rId28"/>
      <w:pgSz w:w="11906" w:h="16838"/>
      <w:pgMar w:top="1440" w:right="1440" w:bottom="1440" w:left="1440" w:header="70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C3664" w14:textId="77777777" w:rsidR="0059116E" w:rsidRDefault="0059116E" w:rsidP="000A446C">
      <w:pPr>
        <w:spacing w:after="0" w:line="240" w:lineRule="auto"/>
      </w:pPr>
      <w:r>
        <w:separator/>
      </w:r>
    </w:p>
  </w:endnote>
  <w:endnote w:type="continuationSeparator" w:id="0">
    <w:p w14:paraId="69DD2E46" w14:textId="77777777" w:rsidR="0059116E" w:rsidRDefault="0059116E" w:rsidP="000A4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F753F" w14:textId="2B0BA02A" w:rsidR="00D933CE" w:rsidRDefault="00D933CE">
    <w:pPr>
      <w:pStyle w:val="Footer"/>
      <w:jc w:val="center"/>
    </w:pPr>
  </w:p>
  <w:p w14:paraId="74852A24" w14:textId="77777777" w:rsidR="00D933CE" w:rsidRDefault="00D933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3501681"/>
      <w:docPartObj>
        <w:docPartGallery w:val="Page Numbers (Bottom of Page)"/>
        <w:docPartUnique/>
      </w:docPartObj>
    </w:sdtPr>
    <w:sdtContent>
      <w:p w14:paraId="3C9313D0" w14:textId="7F37F9EC" w:rsidR="00D933CE" w:rsidRDefault="00D933CE">
        <w:pPr>
          <w:pStyle w:val="Footer"/>
          <w:jc w:val="center"/>
        </w:pPr>
        <w:r>
          <w:fldChar w:fldCharType="begin"/>
        </w:r>
        <w:r>
          <w:instrText>PAGE   \* MERGEFORMAT</w:instrText>
        </w:r>
        <w:r>
          <w:fldChar w:fldCharType="separate"/>
        </w:r>
        <w:r>
          <w:t>2</w:t>
        </w:r>
        <w:r>
          <w:fldChar w:fldCharType="end"/>
        </w:r>
      </w:p>
    </w:sdtContent>
  </w:sdt>
  <w:p w14:paraId="36F87FEE" w14:textId="77777777" w:rsidR="00D933CE" w:rsidRDefault="00D933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9109C" w14:textId="77777777" w:rsidR="0059116E" w:rsidRDefault="0059116E" w:rsidP="000A446C">
      <w:pPr>
        <w:spacing w:after="0" w:line="240" w:lineRule="auto"/>
      </w:pPr>
      <w:r>
        <w:separator/>
      </w:r>
    </w:p>
  </w:footnote>
  <w:footnote w:type="continuationSeparator" w:id="0">
    <w:p w14:paraId="7BC620A4" w14:textId="77777777" w:rsidR="0059116E" w:rsidRDefault="0059116E" w:rsidP="000A44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52F49" w14:textId="77777777" w:rsidR="00D933CE" w:rsidRDefault="00D933CE">
    <w:pPr>
      <w:pStyle w:val="Header"/>
    </w:pPr>
  </w:p>
</w:hdr>
</file>

<file path=word/intelligence2.xml><?xml version="1.0" encoding="utf-8"?>
<int2:intelligence xmlns:int2="http://schemas.microsoft.com/office/intelligence/2020/intelligence" xmlns:oel="http://schemas.microsoft.com/office/2019/extlst">
  <int2:observations>
    <int2:textHash int2:hashCode="GAbwdDHl5em2Y2" int2:id="6tgM3Ag2">
      <int2:state int2:value="Rejected" int2:type="spell"/>
    </int2:textHash>
    <int2:textHash int2:hashCode="eTDgbH3bLDYvYm" int2:id="BpJjdhlK">
      <int2:state int2:value="Rejected" int2:type="spell"/>
    </int2:textHash>
    <int2:textHash int2:hashCode="gJqdypHkc1lRGp" int2:id="nRD4BOpt">
      <int2:state int2:value="Rejected" int2:type="spell"/>
    </int2:textHash>
    <int2:textHash int2:hashCode="s3lldV4CRlVW7Q" int2:id="qbnscWgo">
      <int2:state int2:value="Rejected" int2:type="spell"/>
    </int2:textHash>
    <int2:textHash int2:hashCode="AIfXtvaafjOAie" int2:id="zji9RwRk">
      <int2:state int2:value="Rejected" int2:type="spell"/>
    </int2:textHash>
    <int2:bookmark int2:bookmarkName="_Int_9nYvHmhh" int2:invalidationBookmarkName="" int2:hashCode="VIn638dZ64kGh/" int2:id="5su4hox4">
      <int2:state int2:value="Rejected" int2:type="style"/>
    </int2:bookmark>
    <int2:bookmark int2:bookmarkName="_Int_VlTr7f5K" int2:invalidationBookmarkName="" int2:hashCode="30HHAZnkc4RXWk" int2:id="8njbgXKM">
      <int2:state int2:value="Rejected" int2:type="style"/>
    </int2:bookmark>
    <int2:bookmark int2:bookmarkName="_Int_yj9xhhb8" int2:invalidationBookmarkName="" int2:hashCode="KCHWq2Whp6Z9ZA" int2:id="XvM4JR89">
      <int2:state int2:value="Rejected" int2:type="style"/>
    </int2:bookmark>
    <int2:bookmark int2:bookmarkName="_Int_uD5TxySk" int2:invalidationBookmarkName="" int2:hashCode="VKqztrnQUrqfZL" int2:id="Y1A6eUdp">
      <int2:state int2:value="Rejected" int2:type="style"/>
    </int2:bookmark>
    <int2:bookmark int2:bookmarkName="_Int_2MnMZfJj" int2:invalidationBookmarkName="" int2:hashCode="7AQLsnzog+8R+K" int2:id="fM0UCNla">
      <int2:state int2:value="Rejected" int2:type="style"/>
    </int2:bookmark>
    <int2:bookmark int2:bookmarkName="_Int_mEDRNNez" int2:invalidationBookmarkName="" int2:hashCode="1uaEXRJ9I12IxX" int2:id="nfU5lOOu">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0A3C"/>
    <w:multiLevelType w:val="hybridMultilevel"/>
    <w:tmpl w:val="955E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7093C"/>
    <w:multiLevelType w:val="hybridMultilevel"/>
    <w:tmpl w:val="06229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5529D"/>
    <w:multiLevelType w:val="hybridMultilevel"/>
    <w:tmpl w:val="0DD4C0FC"/>
    <w:lvl w:ilvl="0" w:tplc="EBCA315A">
      <w:start w:val="1"/>
      <w:numFmt w:val="decimal"/>
      <w:lvlText w:val="%1."/>
      <w:lvlJc w:val="left"/>
      <w:pPr>
        <w:ind w:left="36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EE12D9"/>
    <w:multiLevelType w:val="hybridMultilevel"/>
    <w:tmpl w:val="74DA3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45607F"/>
    <w:multiLevelType w:val="hybridMultilevel"/>
    <w:tmpl w:val="DE5C0D64"/>
    <w:lvl w:ilvl="0" w:tplc="EBCA315A">
      <w:start w:val="1"/>
      <w:numFmt w:val="decimal"/>
      <w:lvlText w:val="%1."/>
      <w:lvlJc w:val="left"/>
      <w:pPr>
        <w:ind w:left="360" w:hanging="360"/>
      </w:pPr>
      <w:rPr>
        <w:strike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8C13F74"/>
    <w:multiLevelType w:val="hybridMultilevel"/>
    <w:tmpl w:val="01266D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4295542"/>
    <w:multiLevelType w:val="hybridMultilevel"/>
    <w:tmpl w:val="FE06C278"/>
    <w:lvl w:ilvl="0" w:tplc="EBCA315A">
      <w:start w:val="1"/>
      <w:numFmt w:val="decimal"/>
      <w:lvlText w:val="%1."/>
      <w:lvlJc w:val="left"/>
      <w:pPr>
        <w:ind w:left="36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E23983"/>
    <w:multiLevelType w:val="hybridMultilevel"/>
    <w:tmpl w:val="3806A1DA"/>
    <w:lvl w:ilvl="0" w:tplc="EBCA315A">
      <w:start w:val="1"/>
      <w:numFmt w:val="decimal"/>
      <w:lvlText w:val="%1."/>
      <w:lvlJc w:val="left"/>
      <w:pPr>
        <w:ind w:left="36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F97816"/>
    <w:multiLevelType w:val="hybridMultilevel"/>
    <w:tmpl w:val="B0FC3B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CA82CA2"/>
    <w:multiLevelType w:val="hybridMultilevel"/>
    <w:tmpl w:val="E77C1604"/>
    <w:lvl w:ilvl="0" w:tplc="EBCA315A">
      <w:start w:val="1"/>
      <w:numFmt w:val="decimal"/>
      <w:lvlText w:val="%1."/>
      <w:lvlJc w:val="left"/>
      <w:pPr>
        <w:ind w:left="36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5D657C6"/>
    <w:multiLevelType w:val="hybridMultilevel"/>
    <w:tmpl w:val="3528A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3D1E62"/>
    <w:multiLevelType w:val="multilevel"/>
    <w:tmpl w:val="BF582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01D3F88"/>
    <w:multiLevelType w:val="hybridMultilevel"/>
    <w:tmpl w:val="2F58B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0D2FA8"/>
    <w:multiLevelType w:val="multilevel"/>
    <w:tmpl w:val="FE604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3230BAE"/>
    <w:multiLevelType w:val="multilevel"/>
    <w:tmpl w:val="8AAC4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3A866F2"/>
    <w:multiLevelType w:val="hybridMultilevel"/>
    <w:tmpl w:val="57363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B0738B3"/>
    <w:multiLevelType w:val="hybridMultilevel"/>
    <w:tmpl w:val="B5A62A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05F4962"/>
    <w:multiLevelType w:val="hybridMultilevel"/>
    <w:tmpl w:val="4FDABA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0BA4DA9"/>
    <w:multiLevelType w:val="multilevel"/>
    <w:tmpl w:val="FE08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8786D6F"/>
    <w:multiLevelType w:val="hybridMultilevel"/>
    <w:tmpl w:val="1EE45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1C5ED4"/>
    <w:multiLevelType w:val="hybridMultilevel"/>
    <w:tmpl w:val="7A12A4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E5267E3"/>
    <w:multiLevelType w:val="multilevel"/>
    <w:tmpl w:val="8BCA2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11956965">
    <w:abstractNumId w:val="1"/>
  </w:num>
  <w:num w:numId="2" w16cid:durableId="1492478477">
    <w:abstractNumId w:val="20"/>
  </w:num>
  <w:num w:numId="3" w16cid:durableId="990719188">
    <w:abstractNumId w:val="17"/>
  </w:num>
  <w:num w:numId="4" w16cid:durableId="336809541">
    <w:abstractNumId w:val="11"/>
  </w:num>
  <w:num w:numId="5" w16cid:durableId="905073208">
    <w:abstractNumId w:val="14"/>
  </w:num>
  <w:num w:numId="6" w16cid:durableId="422772778">
    <w:abstractNumId w:val="18"/>
  </w:num>
  <w:num w:numId="7" w16cid:durableId="422773252">
    <w:abstractNumId w:val="21"/>
  </w:num>
  <w:num w:numId="8" w16cid:durableId="1206404515">
    <w:abstractNumId w:val="12"/>
  </w:num>
  <w:num w:numId="9" w16cid:durableId="1879395864">
    <w:abstractNumId w:val="13"/>
  </w:num>
  <w:num w:numId="10" w16cid:durableId="548028862">
    <w:abstractNumId w:val="8"/>
  </w:num>
  <w:num w:numId="11" w16cid:durableId="1956713831">
    <w:abstractNumId w:val="10"/>
  </w:num>
  <w:num w:numId="12" w16cid:durableId="799808273">
    <w:abstractNumId w:val="0"/>
  </w:num>
  <w:num w:numId="13" w16cid:durableId="1193688455">
    <w:abstractNumId w:val="4"/>
  </w:num>
  <w:num w:numId="14" w16cid:durableId="1920872227">
    <w:abstractNumId w:val="2"/>
  </w:num>
  <w:num w:numId="15" w16cid:durableId="913509651">
    <w:abstractNumId w:val="6"/>
  </w:num>
  <w:num w:numId="16" w16cid:durableId="1405300116">
    <w:abstractNumId w:val="9"/>
  </w:num>
  <w:num w:numId="17" w16cid:durableId="651787647">
    <w:abstractNumId w:val="7"/>
  </w:num>
  <w:num w:numId="18" w16cid:durableId="9063552">
    <w:abstractNumId w:val="3"/>
  </w:num>
  <w:num w:numId="19" w16cid:durableId="1851143923">
    <w:abstractNumId w:val="1"/>
  </w:num>
  <w:num w:numId="20" w16cid:durableId="743920511">
    <w:abstractNumId w:val="16"/>
  </w:num>
  <w:num w:numId="21" w16cid:durableId="2098355523">
    <w:abstractNumId w:val="5"/>
  </w:num>
  <w:num w:numId="22" w16cid:durableId="1159540111">
    <w:abstractNumId w:val="19"/>
  </w:num>
  <w:num w:numId="23" w16cid:durableId="71362431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1C8"/>
    <w:rsid w:val="00000310"/>
    <w:rsid w:val="00000756"/>
    <w:rsid w:val="0000127C"/>
    <w:rsid w:val="00001F0D"/>
    <w:rsid w:val="00001FEE"/>
    <w:rsid w:val="00003C92"/>
    <w:rsid w:val="0000489D"/>
    <w:rsid w:val="00005429"/>
    <w:rsid w:val="000056ED"/>
    <w:rsid w:val="00005E4C"/>
    <w:rsid w:val="00007156"/>
    <w:rsid w:val="0000760D"/>
    <w:rsid w:val="0000798A"/>
    <w:rsid w:val="0001115A"/>
    <w:rsid w:val="0001186C"/>
    <w:rsid w:val="000134F6"/>
    <w:rsid w:val="0001357E"/>
    <w:rsid w:val="0001425D"/>
    <w:rsid w:val="00015DFC"/>
    <w:rsid w:val="00016D53"/>
    <w:rsid w:val="000177B2"/>
    <w:rsid w:val="00020203"/>
    <w:rsid w:val="00020241"/>
    <w:rsid w:val="000210DD"/>
    <w:rsid w:val="00022585"/>
    <w:rsid w:val="000259F6"/>
    <w:rsid w:val="0002614E"/>
    <w:rsid w:val="000264B0"/>
    <w:rsid w:val="00031406"/>
    <w:rsid w:val="0003352E"/>
    <w:rsid w:val="00033D82"/>
    <w:rsid w:val="00034094"/>
    <w:rsid w:val="00034DBD"/>
    <w:rsid w:val="0003595D"/>
    <w:rsid w:val="00036104"/>
    <w:rsid w:val="00043A7E"/>
    <w:rsid w:val="00046A51"/>
    <w:rsid w:val="00047466"/>
    <w:rsid w:val="00047646"/>
    <w:rsid w:val="000507CB"/>
    <w:rsid w:val="000551D2"/>
    <w:rsid w:val="00056106"/>
    <w:rsid w:val="00056561"/>
    <w:rsid w:val="00057277"/>
    <w:rsid w:val="0006028C"/>
    <w:rsid w:val="000603AC"/>
    <w:rsid w:val="00060CA0"/>
    <w:rsid w:val="00063507"/>
    <w:rsid w:val="00063C86"/>
    <w:rsid w:val="000640DB"/>
    <w:rsid w:val="00067665"/>
    <w:rsid w:val="00067D12"/>
    <w:rsid w:val="000709FA"/>
    <w:rsid w:val="00071889"/>
    <w:rsid w:val="000730A9"/>
    <w:rsid w:val="00073964"/>
    <w:rsid w:val="00074B92"/>
    <w:rsid w:val="000756D4"/>
    <w:rsid w:val="00076009"/>
    <w:rsid w:val="00076CBD"/>
    <w:rsid w:val="00076F70"/>
    <w:rsid w:val="00080FC8"/>
    <w:rsid w:val="000810EB"/>
    <w:rsid w:val="00081A1F"/>
    <w:rsid w:val="000834A9"/>
    <w:rsid w:val="00083AD3"/>
    <w:rsid w:val="000842E6"/>
    <w:rsid w:val="00090CD3"/>
    <w:rsid w:val="0009139C"/>
    <w:rsid w:val="00091C31"/>
    <w:rsid w:val="00091D63"/>
    <w:rsid w:val="000921C6"/>
    <w:rsid w:val="00093105"/>
    <w:rsid w:val="000931D8"/>
    <w:rsid w:val="00093467"/>
    <w:rsid w:val="00093D02"/>
    <w:rsid w:val="00093F78"/>
    <w:rsid w:val="00093FBC"/>
    <w:rsid w:val="000953CA"/>
    <w:rsid w:val="00096A4F"/>
    <w:rsid w:val="000A04A3"/>
    <w:rsid w:val="000A1353"/>
    <w:rsid w:val="000A1CAF"/>
    <w:rsid w:val="000A3520"/>
    <w:rsid w:val="000A3E26"/>
    <w:rsid w:val="000A41CC"/>
    <w:rsid w:val="000A446C"/>
    <w:rsid w:val="000A4707"/>
    <w:rsid w:val="000A4D54"/>
    <w:rsid w:val="000A4D5D"/>
    <w:rsid w:val="000A59BE"/>
    <w:rsid w:val="000A6509"/>
    <w:rsid w:val="000A6C39"/>
    <w:rsid w:val="000B1480"/>
    <w:rsid w:val="000B20BD"/>
    <w:rsid w:val="000B4FF1"/>
    <w:rsid w:val="000B550C"/>
    <w:rsid w:val="000C0CEC"/>
    <w:rsid w:val="000C2BC0"/>
    <w:rsid w:val="000C6B9E"/>
    <w:rsid w:val="000C74BC"/>
    <w:rsid w:val="000C7B39"/>
    <w:rsid w:val="000D2427"/>
    <w:rsid w:val="000D2E0B"/>
    <w:rsid w:val="000D379C"/>
    <w:rsid w:val="000D43A6"/>
    <w:rsid w:val="000D5158"/>
    <w:rsid w:val="000D5CEF"/>
    <w:rsid w:val="000D7075"/>
    <w:rsid w:val="000D78C3"/>
    <w:rsid w:val="000E042A"/>
    <w:rsid w:val="000E12A7"/>
    <w:rsid w:val="000E256D"/>
    <w:rsid w:val="000E3B0A"/>
    <w:rsid w:val="000E4DBA"/>
    <w:rsid w:val="000E5B4D"/>
    <w:rsid w:val="000E648B"/>
    <w:rsid w:val="000E665E"/>
    <w:rsid w:val="000F0CC1"/>
    <w:rsid w:val="000F0FC7"/>
    <w:rsid w:val="000F10F2"/>
    <w:rsid w:val="000F2FD6"/>
    <w:rsid w:val="000F3F95"/>
    <w:rsid w:val="000F404F"/>
    <w:rsid w:val="000F535C"/>
    <w:rsid w:val="000F5782"/>
    <w:rsid w:val="000F57E8"/>
    <w:rsid w:val="000F7518"/>
    <w:rsid w:val="000F7671"/>
    <w:rsid w:val="00101DFD"/>
    <w:rsid w:val="001021B3"/>
    <w:rsid w:val="00102384"/>
    <w:rsid w:val="00103046"/>
    <w:rsid w:val="001037D0"/>
    <w:rsid w:val="00103FA2"/>
    <w:rsid w:val="0010401D"/>
    <w:rsid w:val="001046C0"/>
    <w:rsid w:val="00105BF9"/>
    <w:rsid w:val="001062AF"/>
    <w:rsid w:val="0010653F"/>
    <w:rsid w:val="00107877"/>
    <w:rsid w:val="00110F47"/>
    <w:rsid w:val="001115B8"/>
    <w:rsid w:val="00113750"/>
    <w:rsid w:val="00114802"/>
    <w:rsid w:val="001168C9"/>
    <w:rsid w:val="00117189"/>
    <w:rsid w:val="0011F252"/>
    <w:rsid w:val="001205EA"/>
    <w:rsid w:val="0012351F"/>
    <w:rsid w:val="0012380B"/>
    <w:rsid w:val="00123DA9"/>
    <w:rsid w:val="00124004"/>
    <w:rsid w:val="00124178"/>
    <w:rsid w:val="00124617"/>
    <w:rsid w:val="00124CCB"/>
    <w:rsid w:val="001254A6"/>
    <w:rsid w:val="0012679B"/>
    <w:rsid w:val="001302FB"/>
    <w:rsid w:val="00131CC7"/>
    <w:rsid w:val="00135362"/>
    <w:rsid w:val="0014009D"/>
    <w:rsid w:val="00143688"/>
    <w:rsid w:val="00145764"/>
    <w:rsid w:val="00145EED"/>
    <w:rsid w:val="0014732D"/>
    <w:rsid w:val="00150B37"/>
    <w:rsid w:val="001514B4"/>
    <w:rsid w:val="00152410"/>
    <w:rsid w:val="001551A3"/>
    <w:rsid w:val="00161BFA"/>
    <w:rsid w:val="00161EA7"/>
    <w:rsid w:val="00164154"/>
    <w:rsid w:val="00170E67"/>
    <w:rsid w:val="00173046"/>
    <w:rsid w:val="00173970"/>
    <w:rsid w:val="00174300"/>
    <w:rsid w:val="00174322"/>
    <w:rsid w:val="00174E40"/>
    <w:rsid w:val="00176D16"/>
    <w:rsid w:val="00177E49"/>
    <w:rsid w:val="0018086F"/>
    <w:rsid w:val="00181B73"/>
    <w:rsid w:val="0018259C"/>
    <w:rsid w:val="001849CA"/>
    <w:rsid w:val="00185266"/>
    <w:rsid w:val="00191800"/>
    <w:rsid w:val="00192D17"/>
    <w:rsid w:val="0019422E"/>
    <w:rsid w:val="00194DC4"/>
    <w:rsid w:val="00195B08"/>
    <w:rsid w:val="00195CF3"/>
    <w:rsid w:val="001A165D"/>
    <w:rsid w:val="001A16EB"/>
    <w:rsid w:val="001A17BF"/>
    <w:rsid w:val="001A205C"/>
    <w:rsid w:val="001A2B56"/>
    <w:rsid w:val="001A2EB3"/>
    <w:rsid w:val="001A3F7A"/>
    <w:rsid w:val="001A6CEE"/>
    <w:rsid w:val="001A79CE"/>
    <w:rsid w:val="001B1C05"/>
    <w:rsid w:val="001B3E18"/>
    <w:rsid w:val="001B3E71"/>
    <w:rsid w:val="001B501E"/>
    <w:rsid w:val="001B7C17"/>
    <w:rsid w:val="001C0148"/>
    <w:rsid w:val="001C21DC"/>
    <w:rsid w:val="001C4169"/>
    <w:rsid w:val="001D1CC8"/>
    <w:rsid w:val="001D3704"/>
    <w:rsid w:val="001D64EF"/>
    <w:rsid w:val="001E0C3E"/>
    <w:rsid w:val="001E1A22"/>
    <w:rsid w:val="001E1B4E"/>
    <w:rsid w:val="001E45F1"/>
    <w:rsid w:val="001E71A3"/>
    <w:rsid w:val="001E775A"/>
    <w:rsid w:val="001E78B9"/>
    <w:rsid w:val="001F0A5B"/>
    <w:rsid w:val="001F0B78"/>
    <w:rsid w:val="001F1259"/>
    <w:rsid w:val="001F185A"/>
    <w:rsid w:val="001F263E"/>
    <w:rsid w:val="001F451B"/>
    <w:rsid w:val="00200CBD"/>
    <w:rsid w:val="00200E25"/>
    <w:rsid w:val="002018D3"/>
    <w:rsid w:val="00201C29"/>
    <w:rsid w:val="00202108"/>
    <w:rsid w:val="002028EE"/>
    <w:rsid w:val="002075E5"/>
    <w:rsid w:val="00207F75"/>
    <w:rsid w:val="00210D06"/>
    <w:rsid w:val="0021228A"/>
    <w:rsid w:val="00214661"/>
    <w:rsid w:val="0022094F"/>
    <w:rsid w:val="00221637"/>
    <w:rsid w:val="00223BD6"/>
    <w:rsid w:val="0022508A"/>
    <w:rsid w:val="0022734C"/>
    <w:rsid w:val="00227BF8"/>
    <w:rsid w:val="0023011A"/>
    <w:rsid w:val="00231C5E"/>
    <w:rsid w:val="0023430D"/>
    <w:rsid w:val="00234F3A"/>
    <w:rsid w:val="00235F8B"/>
    <w:rsid w:val="0023609D"/>
    <w:rsid w:val="00236B70"/>
    <w:rsid w:val="00240163"/>
    <w:rsid w:val="002403EC"/>
    <w:rsid w:val="00240743"/>
    <w:rsid w:val="0024075E"/>
    <w:rsid w:val="00242911"/>
    <w:rsid w:val="0024357D"/>
    <w:rsid w:val="0024479C"/>
    <w:rsid w:val="00245A25"/>
    <w:rsid w:val="00246910"/>
    <w:rsid w:val="00246F42"/>
    <w:rsid w:val="00247333"/>
    <w:rsid w:val="00252C6F"/>
    <w:rsid w:val="00253D1D"/>
    <w:rsid w:val="002560F6"/>
    <w:rsid w:val="00257DC3"/>
    <w:rsid w:val="0026380C"/>
    <w:rsid w:val="00265142"/>
    <w:rsid w:val="002658BC"/>
    <w:rsid w:val="002663F5"/>
    <w:rsid w:val="0026640C"/>
    <w:rsid w:val="002670B1"/>
    <w:rsid w:val="00271113"/>
    <w:rsid w:val="0027178B"/>
    <w:rsid w:val="00273DB9"/>
    <w:rsid w:val="00273DEC"/>
    <w:rsid w:val="00274165"/>
    <w:rsid w:val="002754B3"/>
    <w:rsid w:val="0027754B"/>
    <w:rsid w:val="00284755"/>
    <w:rsid w:val="0028529C"/>
    <w:rsid w:val="00285A43"/>
    <w:rsid w:val="002863C2"/>
    <w:rsid w:val="002864CE"/>
    <w:rsid w:val="00286573"/>
    <w:rsid w:val="0029177F"/>
    <w:rsid w:val="002917E9"/>
    <w:rsid w:val="0029268E"/>
    <w:rsid w:val="00293963"/>
    <w:rsid w:val="002A046A"/>
    <w:rsid w:val="002A1D8B"/>
    <w:rsid w:val="002A1F0A"/>
    <w:rsid w:val="002A3205"/>
    <w:rsid w:val="002A39E7"/>
    <w:rsid w:val="002A39F6"/>
    <w:rsid w:val="002A7583"/>
    <w:rsid w:val="002B0D27"/>
    <w:rsid w:val="002B17F9"/>
    <w:rsid w:val="002B2EAA"/>
    <w:rsid w:val="002B4B5D"/>
    <w:rsid w:val="002B4ED3"/>
    <w:rsid w:val="002B5FE4"/>
    <w:rsid w:val="002C0FCB"/>
    <w:rsid w:val="002C4801"/>
    <w:rsid w:val="002C502D"/>
    <w:rsid w:val="002C5666"/>
    <w:rsid w:val="002C6001"/>
    <w:rsid w:val="002C6C5A"/>
    <w:rsid w:val="002D01AA"/>
    <w:rsid w:val="002D05D0"/>
    <w:rsid w:val="002D0AAC"/>
    <w:rsid w:val="002D1684"/>
    <w:rsid w:val="002D20F1"/>
    <w:rsid w:val="002D487C"/>
    <w:rsid w:val="002D51BB"/>
    <w:rsid w:val="002D5CBA"/>
    <w:rsid w:val="002E0557"/>
    <w:rsid w:val="002E10E1"/>
    <w:rsid w:val="002E171C"/>
    <w:rsid w:val="002E4742"/>
    <w:rsid w:val="002E53FD"/>
    <w:rsid w:val="002E5CD9"/>
    <w:rsid w:val="002E657C"/>
    <w:rsid w:val="002E66B9"/>
    <w:rsid w:val="002E6CA2"/>
    <w:rsid w:val="002E7B15"/>
    <w:rsid w:val="002F4D8A"/>
    <w:rsid w:val="002F5F9C"/>
    <w:rsid w:val="002F6C44"/>
    <w:rsid w:val="00303226"/>
    <w:rsid w:val="00303FA1"/>
    <w:rsid w:val="00304526"/>
    <w:rsid w:val="00305359"/>
    <w:rsid w:val="003054F7"/>
    <w:rsid w:val="003137A1"/>
    <w:rsid w:val="00314139"/>
    <w:rsid w:val="00315447"/>
    <w:rsid w:val="00315ABB"/>
    <w:rsid w:val="00315EED"/>
    <w:rsid w:val="00316D8F"/>
    <w:rsid w:val="003176D2"/>
    <w:rsid w:val="003178E6"/>
    <w:rsid w:val="00320156"/>
    <w:rsid w:val="0032181A"/>
    <w:rsid w:val="00325BE9"/>
    <w:rsid w:val="00326A41"/>
    <w:rsid w:val="003301C5"/>
    <w:rsid w:val="00330D80"/>
    <w:rsid w:val="0033329F"/>
    <w:rsid w:val="003341FA"/>
    <w:rsid w:val="00335CD1"/>
    <w:rsid w:val="00336AA5"/>
    <w:rsid w:val="00337E20"/>
    <w:rsid w:val="0034058F"/>
    <w:rsid w:val="003450A8"/>
    <w:rsid w:val="003454BD"/>
    <w:rsid w:val="00345B8C"/>
    <w:rsid w:val="00346C18"/>
    <w:rsid w:val="00346CEE"/>
    <w:rsid w:val="00347C85"/>
    <w:rsid w:val="00350AC2"/>
    <w:rsid w:val="00350F79"/>
    <w:rsid w:val="00352AC3"/>
    <w:rsid w:val="00352C9E"/>
    <w:rsid w:val="00352DA8"/>
    <w:rsid w:val="00352EA8"/>
    <w:rsid w:val="0035302F"/>
    <w:rsid w:val="003531CA"/>
    <w:rsid w:val="003534FF"/>
    <w:rsid w:val="0035361A"/>
    <w:rsid w:val="00354DAA"/>
    <w:rsid w:val="00354E2B"/>
    <w:rsid w:val="003558D5"/>
    <w:rsid w:val="00360B9E"/>
    <w:rsid w:val="00360F2A"/>
    <w:rsid w:val="003623BE"/>
    <w:rsid w:val="003631F4"/>
    <w:rsid w:val="00365348"/>
    <w:rsid w:val="00365AFE"/>
    <w:rsid w:val="00367639"/>
    <w:rsid w:val="00367A43"/>
    <w:rsid w:val="00367E3C"/>
    <w:rsid w:val="00367F44"/>
    <w:rsid w:val="0037069C"/>
    <w:rsid w:val="003716E2"/>
    <w:rsid w:val="00371DAF"/>
    <w:rsid w:val="00373FBC"/>
    <w:rsid w:val="0037425A"/>
    <w:rsid w:val="00375D31"/>
    <w:rsid w:val="00375ED4"/>
    <w:rsid w:val="00377A39"/>
    <w:rsid w:val="003800FF"/>
    <w:rsid w:val="00380D52"/>
    <w:rsid w:val="003815DA"/>
    <w:rsid w:val="003827CE"/>
    <w:rsid w:val="00383BD1"/>
    <w:rsid w:val="00383F57"/>
    <w:rsid w:val="0038438A"/>
    <w:rsid w:val="00385E6C"/>
    <w:rsid w:val="003867CF"/>
    <w:rsid w:val="00387AA5"/>
    <w:rsid w:val="00390AB3"/>
    <w:rsid w:val="003914D8"/>
    <w:rsid w:val="00391BC5"/>
    <w:rsid w:val="003940E9"/>
    <w:rsid w:val="00394AEE"/>
    <w:rsid w:val="003A0AA6"/>
    <w:rsid w:val="003A13EE"/>
    <w:rsid w:val="003A20B0"/>
    <w:rsid w:val="003A2634"/>
    <w:rsid w:val="003A2EC4"/>
    <w:rsid w:val="003A7B7E"/>
    <w:rsid w:val="003A7D05"/>
    <w:rsid w:val="003B22AF"/>
    <w:rsid w:val="003B2F55"/>
    <w:rsid w:val="003B46BA"/>
    <w:rsid w:val="003B551D"/>
    <w:rsid w:val="003B5C18"/>
    <w:rsid w:val="003B6672"/>
    <w:rsid w:val="003B7926"/>
    <w:rsid w:val="003C046D"/>
    <w:rsid w:val="003C1287"/>
    <w:rsid w:val="003C3425"/>
    <w:rsid w:val="003C4557"/>
    <w:rsid w:val="003C582A"/>
    <w:rsid w:val="003C6B8B"/>
    <w:rsid w:val="003C7389"/>
    <w:rsid w:val="003C7785"/>
    <w:rsid w:val="003D0659"/>
    <w:rsid w:val="003D0BB0"/>
    <w:rsid w:val="003D2CAF"/>
    <w:rsid w:val="003D5606"/>
    <w:rsid w:val="003D6186"/>
    <w:rsid w:val="003D66A3"/>
    <w:rsid w:val="003D66FF"/>
    <w:rsid w:val="003D7FF6"/>
    <w:rsid w:val="003E023C"/>
    <w:rsid w:val="003E1100"/>
    <w:rsid w:val="003E2510"/>
    <w:rsid w:val="003E25DF"/>
    <w:rsid w:val="003F1E32"/>
    <w:rsid w:val="003F2486"/>
    <w:rsid w:val="003F26E4"/>
    <w:rsid w:val="003F3874"/>
    <w:rsid w:val="003F5366"/>
    <w:rsid w:val="003F612E"/>
    <w:rsid w:val="003F6C6A"/>
    <w:rsid w:val="003F725E"/>
    <w:rsid w:val="003F7A0A"/>
    <w:rsid w:val="00401A38"/>
    <w:rsid w:val="004037EB"/>
    <w:rsid w:val="00405B94"/>
    <w:rsid w:val="00412B00"/>
    <w:rsid w:val="00412F6B"/>
    <w:rsid w:val="00413678"/>
    <w:rsid w:val="00415B2A"/>
    <w:rsid w:val="00416CF7"/>
    <w:rsid w:val="00416F55"/>
    <w:rsid w:val="00426851"/>
    <w:rsid w:val="00427173"/>
    <w:rsid w:val="00430FB8"/>
    <w:rsid w:val="00431679"/>
    <w:rsid w:val="0043170E"/>
    <w:rsid w:val="00432028"/>
    <w:rsid w:val="00432464"/>
    <w:rsid w:val="0043317A"/>
    <w:rsid w:val="004345FC"/>
    <w:rsid w:val="00436261"/>
    <w:rsid w:val="004362F5"/>
    <w:rsid w:val="00436A35"/>
    <w:rsid w:val="004413E1"/>
    <w:rsid w:val="00442F58"/>
    <w:rsid w:val="00443456"/>
    <w:rsid w:val="00444428"/>
    <w:rsid w:val="004455A3"/>
    <w:rsid w:val="00445F46"/>
    <w:rsid w:val="00446498"/>
    <w:rsid w:val="00446D17"/>
    <w:rsid w:val="0044764B"/>
    <w:rsid w:val="00452800"/>
    <w:rsid w:val="00453F19"/>
    <w:rsid w:val="004541DB"/>
    <w:rsid w:val="00455D05"/>
    <w:rsid w:val="00464548"/>
    <w:rsid w:val="00464FC4"/>
    <w:rsid w:val="00465CA8"/>
    <w:rsid w:val="00465F7B"/>
    <w:rsid w:val="0046629C"/>
    <w:rsid w:val="00467F6D"/>
    <w:rsid w:val="004711EF"/>
    <w:rsid w:val="004744E4"/>
    <w:rsid w:val="0047465D"/>
    <w:rsid w:val="004758F2"/>
    <w:rsid w:val="004759B3"/>
    <w:rsid w:val="00476163"/>
    <w:rsid w:val="00480DD9"/>
    <w:rsid w:val="004817AF"/>
    <w:rsid w:val="004856A4"/>
    <w:rsid w:val="00487316"/>
    <w:rsid w:val="00487843"/>
    <w:rsid w:val="00487DF9"/>
    <w:rsid w:val="0049033E"/>
    <w:rsid w:val="004919F0"/>
    <w:rsid w:val="00491E93"/>
    <w:rsid w:val="00492E51"/>
    <w:rsid w:val="00493121"/>
    <w:rsid w:val="004933BB"/>
    <w:rsid w:val="00493FC3"/>
    <w:rsid w:val="00494A73"/>
    <w:rsid w:val="004958B5"/>
    <w:rsid w:val="004961DA"/>
    <w:rsid w:val="004A0D4B"/>
    <w:rsid w:val="004A429C"/>
    <w:rsid w:val="004A6A7F"/>
    <w:rsid w:val="004A7A69"/>
    <w:rsid w:val="004B0842"/>
    <w:rsid w:val="004B0983"/>
    <w:rsid w:val="004B38CE"/>
    <w:rsid w:val="004B47EF"/>
    <w:rsid w:val="004B493B"/>
    <w:rsid w:val="004B5472"/>
    <w:rsid w:val="004B5633"/>
    <w:rsid w:val="004C0793"/>
    <w:rsid w:val="004C183D"/>
    <w:rsid w:val="004C4E75"/>
    <w:rsid w:val="004C599F"/>
    <w:rsid w:val="004C78C0"/>
    <w:rsid w:val="004C78C1"/>
    <w:rsid w:val="004C7A1C"/>
    <w:rsid w:val="004D0DC0"/>
    <w:rsid w:val="004D2598"/>
    <w:rsid w:val="004D3BFE"/>
    <w:rsid w:val="004D4926"/>
    <w:rsid w:val="004D4E0A"/>
    <w:rsid w:val="004D4F03"/>
    <w:rsid w:val="004D7136"/>
    <w:rsid w:val="004D78EF"/>
    <w:rsid w:val="004D7E25"/>
    <w:rsid w:val="004E0C52"/>
    <w:rsid w:val="004E1AD2"/>
    <w:rsid w:val="004E2016"/>
    <w:rsid w:val="004E34E7"/>
    <w:rsid w:val="004E3EA3"/>
    <w:rsid w:val="004E5F58"/>
    <w:rsid w:val="004F1CEF"/>
    <w:rsid w:val="004F1D4D"/>
    <w:rsid w:val="004F2175"/>
    <w:rsid w:val="004F256C"/>
    <w:rsid w:val="004F2EDD"/>
    <w:rsid w:val="004F573B"/>
    <w:rsid w:val="004F6DA2"/>
    <w:rsid w:val="004F6F83"/>
    <w:rsid w:val="005028AF"/>
    <w:rsid w:val="00502D47"/>
    <w:rsid w:val="00502FDE"/>
    <w:rsid w:val="005039D2"/>
    <w:rsid w:val="00510044"/>
    <w:rsid w:val="00511079"/>
    <w:rsid w:val="0051108C"/>
    <w:rsid w:val="005110DA"/>
    <w:rsid w:val="005116F1"/>
    <w:rsid w:val="005123E5"/>
    <w:rsid w:val="00512676"/>
    <w:rsid w:val="00514852"/>
    <w:rsid w:val="005152D9"/>
    <w:rsid w:val="00516B6D"/>
    <w:rsid w:val="00517721"/>
    <w:rsid w:val="0052156E"/>
    <w:rsid w:val="00521C63"/>
    <w:rsid w:val="00522773"/>
    <w:rsid w:val="00523EF5"/>
    <w:rsid w:val="00524584"/>
    <w:rsid w:val="00526900"/>
    <w:rsid w:val="00526C0F"/>
    <w:rsid w:val="00527480"/>
    <w:rsid w:val="00527B44"/>
    <w:rsid w:val="00530A5C"/>
    <w:rsid w:val="00532947"/>
    <w:rsid w:val="00532C8E"/>
    <w:rsid w:val="00533234"/>
    <w:rsid w:val="00536312"/>
    <w:rsid w:val="00536367"/>
    <w:rsid w:val="005368EE"/>
    <w:rsid w:val="00540CBE"/>
    <w:rsid w:val="005419E7"/>
    <w:rsid w:val="0054303A"/>
    <w:rsid w:val="00543725"/>
    <w:rsid w:val="00543A35"/>
    <w:rsid w:val="00543E1A"/>
    <w:rsid w:val="00545465"/>
    <w:rsid w:val="00547972"/>
    <w:rsid w:val="00547DC5"/>
    <w:rsid w:val="00551410"/>
    <w:rsid w:val="00554795"/>
    <w:rsid w:val="00554B6D"/>
    <w:rsid w:val="005607B0"/>
    <w:rsid w:val="005610CF"/>
    <w:rsid w:val="005610F7"/>
    <w:rsid w:val="005657A4"/>
    <w:rsid w:val="00567335"/>
    <w:rsid w:val="00567E3A"/>
    <w:rsid w:val="00570D59"/>
    <w:rsid w:val="005750E7"/>
    <w:rsid w:val="00575DE9"/>
    <w:rsid w:val="005766F3"/>
    <w:rsid w:val="00577768"/>
    <w:rsid w:val="005778BF"/>
    <w:rsid w:val="00584D04"/>
    <w:rsid w:val="0058563C"/>
    <w:rsid w:val="005904C4"/>
    <w:rsid w:val="0059116E"/>
    <w:rsid w:val="0059152E"/>
    <w:rsid w:val="005925EA"/>
    <w:rsid w:val="00594BA7"/>
    <w:rsid w:val="00596D5A"/>
    <w:rsid w:val="005A2AC7"/>
    <w:rsid w:val="005A2CDF"/>
    <w:rsid w:val="005A3152"/>
    <w:rsid w:val="005A4710"/>
    <w:rsid w:val="005A4BC5"/>
    <w:rsid w:val="005A4FC5"/>
    <w:rsid w:val="005A59C7"/>
    <w:rsid w:val="005A6645"/>
    <w:rsid w:val="005A6D7D"/>
    <w:rsid w:val="005A71A0"/>
    <w:rsid w:val="005B12C5"/>
    <w:rsid w:val="005B298C"/>
    <w:rsid w:val="005B3291"/>
    <w:rsid w:val="005B35E3"/>
    <w:rsid w:val="005B583D"/>
    <w:rsid w:val="005B7B7D"/>
    <w:rsid w:val="005C145F"/>
    <w:rsid w:val="005C1479"/>
    <w:rsid w:val="005C1755"/>
    <w:rsid w:val="005C18DA"/>
    <w:rsid w:val="005C2BBF"/>
    <w:rsid w:val="005C363D"/>
    <w:rsid w:val="005C4FC2"/>
    <w:rsid w:val="005C5295"/>
    <w:rsid w:val="005C587E"/>
    <w:rsid w:val="005C5F3F"/>
    <w:rsid w:val="005C7303"/>
    <w:rsid w:val="005C7650"/>
    <w:rsid w:val="005C7912"/>
    <w:rsid w:val="005D253E"/>
    <w:rsid w:val="005D4B76"/>
    <w:rsid w:val="005D5B23"/>
    <w:rsid w:val="005D5B6E"/>
    <w:rsid w:val="005D621F"/>
    <w:rsid w:val="005D65D0"/>
    <w:rsid w:val="005E0CF5"/>
    <w:rsid w:val="005E0D40"/>
    <w:rsid w:val="005E2642"/>
    <w:rsid w:val="005E39E2"/>
    <w:rsid w:val="005E3D28"/>
    <w:rsid w:val="005E50B2"/>
    <w:rsid w:val="005E52CE"/>
    <w:rsid w:val="005F1690"/>
    <w:rsid w:val="005F1C2B"/>
    <w:rsid w:val="005F1C61"/>
    <w:rsid w:val="005F3EA3"/>
    <w:rsid w:val="005F5003"/>
    <w:rsid w:val="005F5BDC"/>
    <w:rsid w:val="005F66F9"/>
    <w:rsid w:val="005F7EE9"/>
    <w:rsid w:val="00601042"/>
    <w:rsid w:val="00601A99"/>
    <w:rsid w:val="006030F7"/>
    <w:rsid w:val="00605030"/>
    <w:rsid w:val="00605681"/>
    <w:rsid w:val="00606565"/>
    <w:rsid w:val="00612510"/>
    <w:rsid w:val="006129E9"/>
    <w:rsid w:val="00612C74"/>
    <w:rsid w:val="00613458"/>
    <w:rsid w:val="0061377D"/>
    <w:rsid w:val="0061483A"/>
    <w:rsid w:val="00615167"/>
    <w:rsid w:val="00616676"/>
    <w:rsid w:val="006170F2"/>
    <w:rsid w:val="00620432"/>
    <w:rsid w:val="00622E4B"/>
    <w:rsid w:val="006239D8"/>
    <w:rsid w:val="00623A1E"/>
    <w:rsid w:val="006247D2"/>
    <w:rsid w:val="0062497E"/>
    <w:rsid w:val="00626BC4"/>
    <w:rsid w:val="00630EF2"/>
    <w:rsid w:val="00631BDF"/>
    <w:rsid w:val="006324CB"/>
    <w:rsid w:val="006324E2"/>
    <w:rsid w:val="00633312"/>
    <w:rsid w:val="0063431F"/>
    <w:rsid w:val="00634530"/>
    <w:rsid w:val="0063500F"/>
    <w:rsid w:val="0063563F"/>
    <w:rsid w:val="00636EEB"/>
    <w:rsid w:val="0064052F"/>
    <w:rsid w:val="00640ABA"/>
    <w:rsid w:val="00641CC5"/>
    <w:rsid w:val="00641D86"/>
    <w:rsid w:val="0064413B"/>
    <w:rsid w:val="006453CF"/>
    <w:rsid w:val="00647660"/>
    <w:rsid w:val="00647C71"/>
    <w:rsid w:val="006507A6"/>
    <w:rsid w:val="00652F5B"/>
    <w:rsid w:val="0065334A"/>
    <w:rsid w:val="006551C1"/>
    <w:rsid w:val="0065553F"/>
    <w:rsid w:val="00661A6E"/>
    <w:rsid w:val="00662B18"/>
    <w:rsid w:val="00663C11"/>
    <w:rsid w:val="006645D4"/>
    <w:rsid w:val="00664EB3"/>
    <w:rsid w:val="00665728"/>
    <w:rsid w:val="00665F1B"/>
    <w:rsid w:val="00666F32"/>
    <w:rsid w:val="00667B62"/>
    <w:rsid w:val="006713F8"/>
    <w:rsid w:val="00672096"/>
    <w:rsid w:val="0067385D"/>
    <w:rsid w:val="006738A2"/>
    <w:rsid w:val="00677A43"/>
    <w:rsid w:val="00677AA8"/>
    <w:rsid w:val="00677D82"/>
    <w:rsid w:val="00677EB1"/>
    <w:rsid w:val="00680668"/>
    <w:rsid w:val="00682831"/>
    <w:rsid w:val="00682C84"/>
    <w:rsid w:val="006855BA"/>
    <w:rsid w:val="006865A8"/>
    <w:rsid w:val="00687775"/>
    <w:rsid w:val="00687B75"/>
    <w:rsid w:val="006923B8"/>
    <w:rsid w:val="00695291"/>
    <w:rsid w:val="00695E9F"/>
    <w:rsid w:val="00697834"/>
    <w:rsid w:val="006A0750"/>
    <w:rsid w:val="006A14AE"/>
    <w:rsid w:val="006A1B5F"/>
    <w:rsid w:val="006A1D7F"/>
    <w:rsid w:val="006A2867"/>
    <w:rsid w:val="006A5CE7"/>
    <w:rsid w:val="006A6564"/>
    <w:rsid w:val="006A7893"/>
    <w:rsid w:val="006B2454"/>
    <w:rsid w:val="006B2A25"/>
    <w:rsid w:val="006B65C2"/>
    <w:rsid w:val="006C0A6F"/>
    <w:rsid w:val="006C1C5E"/>
    <w:rsid w:val="006C304D"/>
    <w:rsid w:val="006C5166"/>
    <w:rsid w:val="006C5D4D"/>
    <w:rsid w:val="006D0A34"/>
    <w:rsid w:val="006D0E59"/>
    <w:rsid w:val="006D1223"/>
    <w:rsid w:val="006D1CC7"/>
    <w:rsid w:val="006D256D"/>
    <w:rsid w:val="006D5EE5"/>
    <w:rsid w:val="006D6182"/>
    <w:rsid w:val="006D6E67"/>
    <w:rsid w:val="006D7FA9"/>
    <w:rsid w:val="006E2EF7"/>
    <w:rsid w:val="006E409D"/>
    <w:rsid w:val="006E4558"/>
    <w:rsid w:val="006E52FB"/>
    <w:rsid w:val="006E6282"/>
    <w:rsid w:val="006E657B"/>
    <w:rsid w:val="006F043E"/>
    <w:rsid w:val="006F0895"/>
    <w:rsid w:val="006F0D56"/>
    <w:rsid w:val="006F1150"/>
    <w:rsid w:val="006F1649"/>
    <w:rsid w:val="006F4EFF"/>
    <w:rsid w:val="006F6BA2"/>
    <w:rsid w:val="006F79D9"/>
    <w:rsid w:val="0070302C"/>
    <w:rsid w:val="0070373D"/>
    <w:rsid w:val="00703F4D"/>
    <w:rsid w:val="0070482D"/>
    <w:rsid w:val="007100C5"/>
    <w:rsid w:val="00712100"/>
    <w:rsid w:val="00712A6D"/>
    <w:rsid w:val="0071481F"/>
    <w:rsid w:val="00714D85"/>
    <w:rsid w:val="00716ED4"/>
    <w:rsid w:val="0071704C"/>
    <w:rsid w:val="007178A9"/>
    <w:rsid w:val="00721B31"/>
    <w:rsid w:val="00722348"/>
    <w:rsid w:val="007227F3"/>
    <w:rsid w:val="007245F6"/>
    <w:rsid w:val="007252B9"/>
    <w:rsid w:val="0072572F"/>
    <w:rsid w:val="00725EC6"/>
    <w:rsid w:val="007260AC"/>
    <w:rsid w:val="007268B8"/>
    <w:rsid w:val="00726980"/>
    <w:rsid w:val="0072732A"/>
    <w:rsid w:val="00730137"/>
    <w:rsid w:val="00735548"/>
    <w:rsid w:val="00736A87"/>
    <w:rsid w:val="00736E41"/>
    <w:rsid w:val="00737884"/>
    <w:rsid w:val="0074009B"/>
    <w:rsid w:val="007426AA"/>
    <w:rsid w:val="007435C4"/>
    <w:rsid w:val="00743EEB"/>
    <w:rsid w:val="00744188"/>
    <w:rsid w:val="0074455E"/>
    <w:rsid w:val="00746AB3"/>
    <w:rsid w:val="007508E0"/>
    <w:rsid w:val="007521D1"/>
    <w:rsid w:val="00752FB3"/>
    <w:rsid w:val="00755608"/>
    <w:rsid w:val="00757972"/>
    <w:rsid w:val="00760C05"/>
    <w:rsid w:val="007617C9"/>
    <w:rsid w:val="0076268F"/>
    <w:rsid w:val="00765560"/>
    <w:rsid w:val="007665F8"/>
    <w:rsid w:val="00767AB2"/>
    <w:rsid w:val="00771952"/>
    <w:rsid w:val="00773F3B"/>
    <w:rsid w:val="00775D26"/>
    <w:rsid w:val="007770A0"/>
    <w:rsid w:val="007776FA"/>
    <w:rsid w:val="007806EF"/>
    <w:rsid w:val="007850DB"/>
    <w:rsid w:val="00785B75"/>
    <w:rsid w:val="00785B89"/>
    <w:rsid w:val="00787725"/>
    <w:rsid w:val="00787AEF"/>
    <w:rsid w:val="00792446"/>
    <w:rsid w:val="007936E5"/>
    <w:rsid w:val="00793FA0"/>
    <w:rsid w:val="00794271"/>
    <w:rsid w:val="007964F8"/>
    <w:rsid w:val="00796B7B"/>
    <w:rsid w:val="00796F37"/>
    <w:rsid w:val="007A2552"/>
    <w:rsid w:val="007A28A6"/>
    <w:rsid w:val="007A3897"/>
    <w:rsid w:val="007A5E52"/>
    <w:rsid w:val="007B04D8"/>
    <w:rsid w:val="007B09A3"/>
    <w:rsid w:val="007B2819"/>
    <w:rsid w:val="007B2994"/>
    <w:rsid w:val="007B44FA"/>
    <w:rsid w:val="007B71C8"/>
    <w:rsid w:val="007C06E6"/>
    <w:rsid w:val="007C0958"/>
    <w:rsid w:val="007C1231"/>
    <w:rsid w:val="007C1B34"/>
    <w:rsid w:val="007C28A4"/>
    <w:rsid w:val="007C2A04"/>
    <w:rsid w:val="007C2D6C"/>
    <w:rsid w:val="007C3803"/>
    <w:rsid w:val="007C5911"/>
    <w:rsid w:val="007C6307"/>
    <w:rsid w:val="007C73BC"/>
    <w:rsid w:val="007D2706"/>
    <w:rsid w:val="007D3068"/>
    <w:rsid w:val="007D4D5E"/>
    <w:rsid w:val="007D57C1"/>
    <w:rsid w:val="007D7796"/>
    <w:rsid w:val="007E0272"/>
    <w:rsid w:val="007E0B93"/>
    <w:rsid w:val="007E0EB9"/>
    <w:rsid w:val="007E2D8B"/>
    <w:rsid w:val="007E3975"/>
    <w:rsid w:val="007E5A31"/>
    <w:rsid w:val="007E5DD8"/>
    <w:rsid w:val="007E652B"/>
    <w:rsid w:val="007E7841"/>
    <w:rsid w:val="007E7CBA"/>
    <w:rsid w:val="007E7D93"/>
    <w:rsid w:val="007F3089"/>
    <w:rsid w:val="007F3BA6"/>
    <w:rsid w:val="007F53AD"/>
    <w:rsid w:val="007F5892"/>
    <w:rsid w:val="007F621D"/>
    <w:rsid w:val="00800C36"/>
    <w:rsid w:val="00801FD4"/>
    <w:rsid w:val="00803197"/>
    <w:rsid w:val="0080399D"/>
    <w:rsid w:val="00805880"/>
    <w:rsid w:val="0080639C"/>
    <w:rsid w:val="008071C2"/>
    <w:rsid w:val="0081038C"/>
    <w:rsid w:val="00811C82"/>
    <w:rsid w:val="008123F4"/>
    <w:rsid w:val="008125FC"/>
    <w:rsid w:val="00812BC3"/>
    <w:rsid w:val="00813464"/>
    <w:rsid w:val="00815B1A"/>
    <w:rsid w:val="008166C8"/>
    <w:rsid w:val="00821E12"/>
    <w:rsid w:val="00822688"/>
    <w:rsid w:val="008249FF"/>
    <w:rsid w:val="00824E93"/>
    <w:rsid w:val="008253C6"/>
    <w:rsid w:val="0082739B"/>
    <w:rsid w:val="0082743C"/>
    <w:rsid w:val="008327C5"/>
    <w:rsid w:val="008339E2"/>
    <w:rsid w:val="00833D1E"/>
    <w:rsid w:val="00834741"/>
    <w:rsid w:val="00834C09"/>
    <w:rsid w:val="00835AB9"/>
    <w:rsid w:val="00835BB1"/>
    <w:rsid w:val="00835D74"/>
    <w:rsid w:val="00835EF0"/>
    <w:rsid w:val="0083685B"/>
    <w:rsid w:val="00840308"/>
    <w:rsid w:val="00842E2B"/>
    <w:rsid w:val="00843046"/>
    <w:rsid w:val="00843E9F"/>
    <w:rsid w:val="008447D6"/>
    <w:rsid w:val="00850498"/>
    <w:rsid w:val="008520D9"/>
    <w:rsid w:val="00854132"/>
    <w:rsid w:val="00854430"/>
    <w:rsid w:val="00855502"/>
    <w:rsid w:val="00857BD2"/>
    <w:rsid w:val="008610C4"/>
    <w:rsid w:val="00862FA7"/>
    <w:rsid w:val="00863060"/>
    <w:rsid w:val="008664DE"/>
    <w:rsid w:val="00866899"/>
    <w:rsid w:val="00866F80"/>
    <w:rsid w:val="00867565"/>
    <w:rsid w:val="00870645"/>
    <w:rsid w:val="0087077C"/>
    <w:rsid w:val="0087126B"/>
    <w:rsid w:val="00872040"/>
    <w:rsid w:val="00872279"/>
    <w:rsid w:val="008726E4"/>
    <w:rsid w:val="00873050"/>
    <w:rsid w:val="00873803"/>
    <w:rsid w:val="00875B2D"/>
    <w:rsid w:val="00877276"/>
    <w:rsid w:val="0088043E"/>
    <w:rsid w:val="0088243B"/>
    <w:rsid w:val="00882B94"/>
    <w:rsid w:val="008844A4"/>
    <w:rsid w:val="00884EEF"/>
    <w:rsid w:val="008851E1"/>
    <w:rsid w:val="00886179"/>
    <w:rsid w:val="00887E72"/>
    <w:rsid w:val="008907EC"/>
    <w:rsid w:val="00890D71"/>
    <w:rsid w:val="00891397"/>
    <w:rsid w:val="008916EE"/>
    <w:rsid w:val="00891BEC"/>
    <w:rsid w:val="00892983"/>
    <w:rsid w:val="00893451"/>
    <w:rsid w:val="00893B09"/>
    <w:rsid w:val="00894B01"/>
    <w:rsid w:val="0089586B"/>
    <w:rsid w:val="00896938"/>
    <w:rsid w:val="00896A08"/>
    <w:rsid w:val="0089718F"/>
    <w:rsid w:val="008A01F7"/>
    <w:rsid w:val="008A0F24"/>
    <w:rsid w:val="008A135B"/>
    <w:rsid w:val="008A4F43"/>
    <w:rsid w:val="008A71BB"/>
    <w:rsid w:val="008B02C8"/>
    <w:rsid w:val="008B1390"/>
    <w:rsid w:val="008B215F"/>
    <w:rsid w:val="008B2E74"/>
    <w:rsid w:val="008B392C"/>
    <w:rsid w:val="008B3B26"/>
    <w:rsid w:val="008B66F5"/>
    <w:rsid w:val="008C1B18"/>
    <w:rsid w:val="008C3698"/>
    <w:rsid w:val="008C3A83"/>
    <w:rsid w:val="008C3E09"/>
    <w:rsid w:val="008C4139"/>
    <w:rsid w:val="008C474E"/>
    <w:rsid w:val="008C76C7"/>
    <w:rsid w:val="008D0639"/>
    <w:rsid w:val="008D1A8F"/>
    <w:rsid w:val="008D2B5E"/>
    <w:rsid w:val="008D4E0F"/>
    <w:rsid w:val="008D5B0C"/>
    <w:rsid w:val="008D66FD"/>
    <w:rsid w:val="008D7A92"/>
    <w:rsid w:val="008D7F4A"/>
    <w:rsid w:val="008E1636"/>
    <w:rsid w:val="008E2E31"/>
    <w:rsid w:val="008E6C29"/>
    <w:rsid w:val="008E70D3"/>
    <w:rsid w:val="008F0138"/>
    <w:rsid w:val="008F487C"/>
    <w:rsid w:val="008F50D1"/>
    <w:rsid w:val="008F5AF3"/>
    <w:rsid w:val="008F5F2E"/>
    <w:rsid w:val="008F7341"/>
    <w:rsid w:val="00902647"/>
    <w:rsid w:val="00903530"/>
    <w:rsid w:val="0090379D"/>
    <w:rsid w:val="00904368"/>
    <w:rsid w:val="009047DA"/>
    <w:rsid w:val="00905289"/>
    <w:rsid w:val="009063F8"/>
    <w:rsid w:val="009067AD"/>
    <w:rsid w:val="00907616"/>
    <w:rsid w:val="009117BB"/>
    <w:rsid w:val="00912370"/>
    <w:rsid w:val="00912E86"/>
    <w:rsid w:val="00914538"/>
    <w:rsid w:val="00916344"/>
    <w:rsid w:val="009170E1"/>
    <w:rsid w:val="00917D9A"/>
    <w:rsid w:val="00922550"/>
    <w:rsid w:val="0092528A"/>
    <w:rsid w:val="00925B20"/>
    <w:rsid w:val="00927169"/>
    <w:rsid w:val="00930318"/>
    <w:rsid w:val="009307BB"/>
    <w:rsid w:val="009313EE"/>
    <w:rsid w:val="009344DF"/>
    <w:rsid w:val="009353F5"/>
    <w:rsid w:val="00936C07"/>
    <w:rsid w:val="00937CFA"/>
    <w:rsid w:val="00942112"/>
    <w:rsid w:val="0094234C"/>
    <w:rsid w:val="00942999"/>
    <w:rsid w:val="0095103F"/>
    <w:rsid w:val="00951D7D"/>
    <w:rsid w:val="00957612"/>
    <w:rsid w:val="009576C4"/>
    <w:rsid w:val="00957BA8"/>
    <w:rsid w:val="00957BED"/>
    <w:rsid w:val="00960ACF"/>
    <w:rsid w:val="00961EAC"/>
    <w:rsid w:val="009645A7"/>
    <w:rsid w:val="00964A08"/>
    <w:rsid w:val="00967171"/>
    <w:rsid w:val="009675D7"/>
    <w:rsid w:val="0096760A"/>
    <w:rsid w:val="009677CF"/>
    <w:rsid w:val="00970489"/>
    <w:rsid w:val="0097307A"/>
    <w:rsid w:val="009732EC"/>
    <w:rsid w:val="00973B31"/>
    <w:rsid w:val="009742A4"/>
    <w:rsid w:val="0097499D"/>
    <w:rsid w:val="0097521B"/>
    <w:rsid w:val="00976524"/>
    <w:rsid w:val="00976604"/>
    <w:rsid w:val="009768E5"/>
    <w:rsid w:val="0098037A"/>
    <w:rsid w:val="009814B3"/>
    <w:rsid w:val="00982160"/>
    <w:rsid w:val="00982A69"/>
    <w:rsid w:val="009836C9"/>
    <w:rsid w:val="00983F6F"/>
    <w:rsid w:val="0098477B"/>
    <w:rsid w:val="00984F80"/>
    <w:rsid w:val="009866DF"/>
    <w:rsid w:val="00987626"/>
    <w:rsid w:val="0099088D"/>
    <w:rsid w:val="00991499"/>
    <w:rsid w:val="009917BD"/>
    <w:rsid w:val="009928ED"/>
    <w:rsid w:val="009933FE"/>
    <w:rsid w:val="00993B0C"/>
    <w:rsid w:val="00994D31"/>
    <w:rsid w:val="009951CF"/>
    <w:rsid w:val="0099537D"/>
    <w:rsid w:val="009958E5"/>
    <w:rsid w:val="00995C82"/>
    <w:rsid w:val="00996669"/>
    <w:rsid w:val="009974A8"/>
    <w:rsid w:val="009A05D3"/>
    <w:rsid w:val="009A133C"/>
    <w:rsid w:val="009A267E"/>
    <w:rsid w:val="009A27EB"/>
    <w:rsid w:val="009A6775"/>
    <w:rsid w:val="009B17E5"/>
    <w:rsid w:val="009B1C18"/>
    <w:rsid w:val="009B1C75"/>
    <w:rsid w:val="009B201A"/>
    <w:rsid w:val="009B28CB"/>
    <w:rsid w:val="009B3938"/>
    <w:rsid w:val="009B4685"/>
    <w:rsid w:val="009B6999"/>
    <w:rsid w:val="009C0BB6"/>
    <w:rsid w:val="009C0E5F"/>
    <w:rsid w:val="009C13A9"/>
    <w:rsid w:val="009C28CA"/>
    <w:rsid w:val="009C2C83"/>
    <w:rsid w:val="009C3339"/>
    <w:rsid w:val="009C4556"/>
    <w:rsid w:val="009C46AD"/>
    <w:rsid w:val="009C54A3"/>
    <w:rsid w:val="009D0E1E"/>
    <w:rsid w:val="009D1E33"/>
    <w:rsid w:val="009D36E9"/>
    <w:rsid w:val="009D69EC"/>
    <w:rsid w:val="009D6EF5"/>
    <w:rsid w:val="009E0F94"/>
    <w:rsid w:val="009E1B70"/>
    <w:rsid w:val="009E3E98"/>
    <w:rsid w:val="009F0038"/>
    <w:rsid w:val="009F131D"/>
    <w:rsid w:val="009F13A9"/>
    <w:rsid w:val="009F3510"/>
    <w:rsid w:val="009F3D77"/>
    <w:rsid w:val="009F456D"/>
    <w:rsid w:val="009F4F31"/>
    <w:rsid w:val="009F53EF"/>
    <w:rsid w:val="009F591D"/>
    <w:rsid w:val="009F6664"/>
    <w:rsid w:val="009F6E60"/>
    <w:rsid w:val="009F7F16"/>
    <w:rsid w:val="00A01B03"/>
    <w:rsid w:val="00A03471"/>
    <w:rsid w:val="00A03DD0"/>
    <w:rsid w:val="00A043C6"/>
    <w:rsid w:val="00A0557D"/>
    <w:rsid w:val="00A06B20"/>
    <w:rsid w:val="00A12C20"/>
    <w:rsid w:val="00A13933"/>
    <w:rsid w:val="00A13B00"/>
    <w:rsid w:val="00A152C7"/>
    <w:rsid w:val="00A157DD"/>
    <w:rsid w:val="00A178DD"/>
    <w:rsid w:val="00A17D74"/>
    <w:rsid w:val="00A20C0F"/>
    <w:rsid w:val="00A21E09"/>
    <w:rsid w:val="00A226DB"/>
    <w:rsid w:val="00A232A0"/>
    <w:rsid w:val="00A2447F"/>
    <w:rsid w:val="00A256A1"/>
    <w:rsid w:val="00A266A8"/>
    <w:rsid w:val="00A269F6"/>
    <w:rsid w:val="00A26FC0"/>
    <w:rsid w:val="00A278BE"/>
    <w:rsid w:val="00A300AC"/>
    <w:rsid w:val="00A31458"/>
    <w:rsid w:val="00A33CEC"/>
    <w:rsid w:val="00A346F9"/>
    <w:rsid w:val="00A349C0"/>
    <w:rsid w:val="00A37AFC"/>
    <w:rsid w:val="00A400B1"/>
    <w:rsid w:val="00A45CB6"/>
    <w:rsid w:val="00A46479"/>
    <w:rsid w:val="00A46F17"/>
    <w:rsid w:val="00A472BA"/>
    <w:rsid w:val="00A51957"/>
    <w:rsid w:val="00A52867"/>
    <w:rsid w:val="00A53A0B"/>
    <w:rsid w:val="00A54244"/>
    <w:rsid w:val="00A61140"/>
    <w:rsid w:val="00A61E46"/>
    <w:rsid w:val="00A6505B"/>
    <w:rsid w:val="00A65AD2"/>
    <w:rsid w:val="00A67432"/>
    <w:rsid w:val="00A71CDF"/>
    <w:rsid w:val="00A77074"/>
    <w:rsid w:val="00A774A8"/>
    <w:rsid w:val="00A805A2"/>
    <w:rsid w:val="00A8061B"/>
    <w:rsid w:val="00A80DD3"/>
    <w:rsid w:val="00A8397A"/>
    <w:rsid w:val="00A84428"/>
    <w:rsid w:val="00A845A6"/>
    <w:rsid w:val="00A849B0"/>
    <w:rsid w:val="00A84BEC"/>
    <w:rsid w:val="00A84C28"/>
    <w:rsid w:val="00A850F9"/>
    <w:rsid w:val="00A86D8F"/>
    <w:rsid w:val="00A87A9A"/>
    <w:rsid w:val="00A87D5F"/>
    <w:rsid w:val="00A87FE8"/>
    <w:rsid w:val="00A90769"/>
    <w:rsid w:val="00A94548"/>
    <w:rsid w:val="00A959B8"/>
    <w:rsid w:val="00A95D25"/>
    <w:rsid w:val="00A96901"/>
    <w:rsid w:val="00A96A31"/>
    <w:rsid w:val="00A9801C"/>
    <w:rsid w:val="00AA055A"/>
    <w:rsid w:val="00AA05B9"/>
    <w:rsid w:val="00AA097A"/>
    <w:rsid w:val="00AA0CA3"/>
    <w:rsid w:val="00AA10D5"/>
    <w:rsid w:val="00AA34D8"/>
    <w:rsid w:val="00AA4528"/>
    <w:rsid w:val="00AA5091"/>
    <w:rsid w:val="00AA58EA"/>
    <w:rsid w:val="00AA6763"/>
    <w:rsid w:val="00AA6FA3"/>
    <w:rsid w:val="00AA7805"/>
    <w:rsid w:val="00AB3490"/>
    <w:rsid w:val="00AB3DDC"/>
    <w:rsid w:val="00AB4028"/>
    <w:rsid w:val="00AB6C4F"/>
    <w:rsid w:val="00AC0310"/>
    <w:rsid w:val="00AC1699"/>
    <w:rsid w:val="00AC1CAC"/>
    <w:rsid w:val="00AC239A"/>
    <w:rsid w:val="00AC256A"/>
    <w:rsid w:val="00AC25B9"/>
    <w:rsid w:val="00AC3624"/>
    <w:rsid w:val="00AC69BA"/>
    <w:rsid w:val="00AD0AD5"/>
    <w:rsid w:val="00AD2B4B"/>
    <w:rsid w:val="00AD3B5A"/>
    <w:rsid w:val="00AD459A"/>
    <w:rsid w:val="00AE08CF"/>
    <w:rsid w:val="00AE31A3"/>
    <w:rsid w:val="00AE54AE"/>
    <w:rsid w:val="00AF263C"/>
    <w:rsid w:val="00AF2F6F"/>
    <w:rsid w:val="00AF3C7A"/>
    <w:rsid w:val="00AF4206"/>
    <w:rsid w:val="00AF5D25"/>
    <w:rsid w:val="00AF6190"/>
    <w:rsid w:val="00AF61CA"/>
    <w:rsid w:val="00AF7265"/>
    <w:rsid w:val="00AF7EAE"/>
    <w:rsid w:val="00AF7F3D"/>
    <w:rsid w:val="00B000C2"/>
    <w:rsid w:val="00B00849"/>
    <w:rsid w:val="00B00FFF"/>
    <w:rsid w:val="00B012F7"/>
    <w:rsid w:val="00B01C05"/>
    <w:rsid w:val="00B02A71"/>
    <w:rsid w:val="00B0365B"/>
    <w:rsid w:val="00B046B5"/>
    <w:rsid w:val="00B04BF1"/>
    <w:rsid w:val="00B05718"/>
    <w:rsid w:val="00B07C75"/>
    <w:rsid w:val="00B10522"/>
    <w:rsid w:val="00B1136E"/>
    <w:rsid w:val="00B11C9D"/>
    <w:rsid w:val="00B12541"/>
    <w:rsid w:val="00B135C7"/>
    <w:rsid w:val="00B136F2"/>
    <w:rsid w:val="00B13E70"/>
    <w:rsid w:val="00B14D3F"/>
    <w:rsid w:val="00B1764C"/>
    <w:rsid w:val="00B178C7"/>
    <w:rsid w:val="00B17B9A"/>
    <w:rsid w:val="00B20BCD"/>
    <w:rsid w:val="00B21231"/>
    <w:rsid w:val="00B2153D"/>
    <w:rsid w:val="00B21C88"/>
    <w:rsid w:val="00B237EF"/>
    <w:rsid w:val="00B23D0F"/>
    <w:rsid w:val="00B23F1E"/>
    <w:rsid w:val="00B278CB"/>
    <w:rsid w:val="00B314C9"/>
    <w:rsid w:val="00B3204D"/>
    <w:rsid w:val="00B3250D"/>
    <w:rsid w:val="00B355B0"/>
    <w:rsid w:val="00B355EA"/>
    <w:rsid w:val="00B36F74"/>
    <w:rsid w:val="00B40FEA"/>
    <w:rsid w:val="00B518B8"/>
    <w:rsid w:val="00B51F56"/>
    <w:rsid w:val="00B52034"/>
    <w:rsid w:val="00B53112"/>
    <w:rsid w:val="00B54779"/>
    <w:rsid w:val="00B548B2"/>
    <w:rsid w:val="00B55533"/>
    <w:rsid w:val="00B569C9"/>
    <w:rsid w:val="00B56EBB"/>
    <w:rsid w:val="00B610B7"/>
    <w:rsid w:val="00B61172"/>
    <w:rsid w:val="00B64F15"/>
    <w:rsid w:val="00B65FC3"/>
    <w:rsid w:val="00B6689C"/>
    <w:rsid w:val="00B672D9"/>
    <w:rsid w:val="00B67736"/>
    <w:rsid w:val="00B71911"/>
    <w:rsid w:val="00B73AAF"/>
    <w:rsid w:val="00B73D36"/>
    <w:rsid w:val="00B73F78"/>
    <w:rsid w:val="00B75FE4"/>
    <w:rsid w:val="00B7638C"/>
    <w:rsid w:val="00B76C0C"/>
    <w:rsid w:val="00B774E0"/>
    <w:rsid w:val="00B77C6C"/>
    <w:rsid w:val="00B8063C"/>
    <w:rsid w:val="00B83318"/>
    <w:rsid w:val="00B838B7"/>
    <w:rsid w:val="00B83DBC"/>
    <w:rsid w:val="00B867BC"/>
    <w:rsid w:val="00B901BF"/>
    <w:rsid w:val="00B909A4"/>
    <w:rsid w:val="00B90D2A"/>
    <w:rsid w:val="00B945DE"/>
    <w:rsid w:val="00B954CC"/>
    <w:rsid w:val="00B9568C"/>
    <w:rsid w:val="00B960AD"/>
    <w:rsid w:val="00BA0DF5"/>
    <w:rsid w:val="00BA267B"/>
    <w:rsid w:val="00BA4274"/>
    <w:rsid w:val="00BA4742"/>
    <w:rsid w:val="00BA5AB4"/>
    <w:rsid w:val="00BB1094"/>
    <w:rsid w:val="00BB4709"/>
    <w:rsid w:val="00BC06EB"/>
    <w:rsid w:val="00BC2959"/>
    <w:rsid w:val="00BC4091"/>
    <w:rsid w:val="00BC50A5"/>
    <w:rsid w:val="00BC5DA1"/>
    <w:rsid w:val="00BC5F99"/>
    <w:rsid w:val="00BD1107"/>
    <w:rsid w:val="00BD110C"/>
    <w:rsid w:val="00BD1535"/>
    <w:rsid w:val="00BD1F3E"/>
    <w:rsid w:val="00BD3CCA"/>
    <w:rsid w:val="00BD4BC2"/>
    <w:rsid w:val="00BD4C4A"/>
    <w:rsid w:val="00BD56D2"/>
    <w:rsid w:val="00BD660B"/>
    <w:rsid w:val="00BD6ABD"/>
    <w:rsid w:val="00BD77E6"/>
    <w:rsid w:val="00BD7909"/>
    <w:rsid w:val="00BE1A24"/>
    <w:rsid w:val="00BE28DA"/>
    <w:rsid w:val="00BE3E6D"/>
    <w:rsid w:val="00BE5FD4"/>
    <w:rsid w:val="00BF0757"/>
    <w:rsid w:val="00BF2882"/>
    <w:rsid w:val="00BF2E77"/>
    <w:rsid w:val="00BF35FB"/>
    <w:rsid w:val="00BF5B4B"/>
    <w:rsid w:val="00BF6D65"/>
    <w:rsid w:val="00BF6D89"/>
    <w:rsid w:val="00BF7645"/>
    <w:rsid w:val="00BF7A89"/>
    <w:rsid w:val="00C00382"/>
    <w:rsid w:val="00C0065F"/>
    <w:rsid w:val="00C01389"/>
    <w:rsid w:val="00C01735"/>
    <w:rsid w:val="00C01CCC"/>
    <w:rsid w:val="00C01D20"/>
    <w:rsid w:val="00C02D05"/>
    <w:rsid w:val="00C03BD5"/>
    <w:rsid w:val="00C03C12"/>
    <w:rsid w:val="00C059A0"/>
    <w:rsid w:val="00C070C1"/>
    <w:rsid w:val="00C07148"/>
    <w:rsid w:val="00C0744C"/>
    <w:rsid w:val="00C109AC"/>
    <w:rsid w:val="00C11220"/>
    <w:rsid w:val="00C12FB9"/>
    <w:rsid w:val="00C141E0"/>
    <w:rsid w:val="00C16B1D"/>
    <w:rsid w:val="00C20195"/>
    <w:rsid w:val="00C21977"/>
    <w:rsid w:val="00C21B2A"/>
    <w:rsid w:val="00C22039"/>
    <w:rsid w:val="00C22D5C"/>
    <w:rsid w:val="00C236A8"/>
    <w:rsid w:val="00C25693"/>
    <w:rsid w:val="00C25E42"/>
    <w:rsid w:val="00C268FA"/>
    <w:rsid w:val="00C27156"/>
    <w:rsid w:val="00C30A04"/>
    <w:rsid w:val="00C30ACB"/>
    <w:rsid w:val="00C34215"/>
    <w:rsid w:val="00C34916"/>
    <w:rsid w:val="00C3554D"/>
    <w:rsid w:val="00C37DD1"/>
    <w:rsid w:val="00C40B60"/>
    <w:rsid w:val="00C41D5B"/>
    <w:rsid w:val="00C44C17"/>
    <w:rsid w:val="00C454CA"/>
    <w:rsid w:val="00C46022"/>
    <w:rsid w:val="00C46B3F"/>
    <w:rsid w:val="00C510BD"/>
    <w:rsid w:val="00C529C3"/>
    <w:rsid w:val="00C5317B"/>
    <w:rsid w:val="00C55430"/>
    <w:rsid w:val="00C55CCB"/>
    <w:rsid w:val="00C56100"/>
    <w:rsid w:val="00C61612"/>
    <w:rsid w:val="00C62624"/>
    <w:rsid w:val="00C63B67"/>
    <w:rsid w:val="00C678FC"/>
    <w:rsid w:val="00C73761"/>
    <w:rsid w:val="00C744AD"/>
    <w:rsid w:val="00C748F0"/>
    <w:rsid w:val="00C80A89"/>
    <w:rsid w:val="00C81B46"/>
    <w:rsid w:val="00C8270C"/>
    <w:rsid w:val="00C84165"/>
    <w:rsid w:val="00C87664"/>
    <w:rsid w:val="00C93C22"/>
    <w:rsid w:val="00C9583F"/>
    <w:rsid w:val="00CA7154"/>
    <w:rsid w:val="00CA7CAD"/>
    <w:rsid w:val="00CB1230"/>
    <w:rsid w:val="00CB2978"/>
    <w:rsid w:val="00CB3BE5"/>
    <w:rsid w:val="00CB419F"/>
    <w:rsid w:val="00CB5C2C"/>
    <w:rsid w:val="00CB7792"/>
    <w:rsid w:val="00CB7EEF"/>
    <w:rsid w:val="00CC1594"/>
    <w:rsid w:val="00CC1B4F"/>
    <w:rsid w:val="00CC23B4"/>
    <w:rsid w:val="00CC2B3F"/>
    <w:rsid w:val="00CC6C0C"/>
    <w:rsid w:val="00CD218D"/>
    <w:rsid w:val="00CD2B95"/>
    <w:rsid w:val="00CD3167"/>
    <w:rsid w:val="00CD334D"/>
    <w:rsid w:val="00CD50E8"/>
    <w:rsid w:val="00CD52B7"/>
    <w:rsid w:val="00CE204A"/>
    <w:rsid w:val="00CE2B7E"/>
    <w:rsid w:val="00CE2C3B"/>
    <w:rsid w:val="00CE3C1E"/>
    <w:rsid w:val="00CE4304"/>
    <w:rsid w:val="00CF2603"/>
    <w:rsid w:val="00CF4FB3"/>
    <w:rsid w:val="00CF67E3"/>
    <w:rsid w:val="00CF6E65"/>
    <w:rsid w:val="00CF77A4"/>
    <w:rsid w:val="00D0111B"/>
    <w:rsid w:val="00D03E79"/>
    <w:rsid w:val="00D0527E"/>
    <w:rsid w:val="00D06B3A"/>
    <w:rsid w:val="00D10517"/>
    <w:rsid w:val="00D10C83"/>
    <w:rsid w:val="00D10FA5"/>
    <w:rsid w:val="00D11718"/>
    <w:rsid w:val="00D1476A"/>
    <w:rsid w:val="00D17C2F"/>
    <w:rsid w:val="00D2027C"/>
    <w:rsid w:val="00D21316"/>
    <w:rsid w:val="00D21EAB"/>
    <w:rsid w:val="00D23678"/>
    <w:rsid w:val="00D26BCF"/>
    <w:rsid w:val="00D26E29"/>
    <w:rsid w:val="00D27D5B"/>
    <w:rsid w:val="00D32774"/>
    <w:rsid w:val="00D3312B"/>
    <w:rsid w:val="00D36901"/>
    <w:rsid w:val="00D40016"/>
    <w:rsid w:val="00D40423"/>
    <w:rsid w:val="00D43020"/>
    <w:rsid w:val="00D454BC"/>
    <w:rsid w:val="00D47F02"/>
    <w:rsid w:val="00D509C1"/>
    <w:rsid w:val="00D52606"/>
    <w:rsid w:val="00D52C22"/>
    <w:rsid w:val="00D53873"/>
    <w:rsid w:val="00D571F3"/>
    <w:rsid w:val="00D6000F"/>
    <w:rsid w:val="00D607A6"/>
    <w:rsid w:val="00D609E4"/>
    <w:rsid w:val="00D60C25"/>
    <w:rsid w:val="00D63E2E"/>
    <w:rsid w:val="00D63FD5"/>
    <w:rsid w:val="00D640A6"/>
    <w:rsid w:val="00D669E9"/>
    <w:rsid w:val="00D66BC6"/>
    <w:rsid w:val="00D67AAD"/>
    <w:rsid w:val="00D70B17"/>
    <w:rsid w:val="00D711E4"/>
    <w:rsid w:val="00D71483"/>
    <w:rsid w:val="00D7164D"/>
    <w:rsid w:val="00D72C3A"/>
    <w:rsid w:val="00D7318D"/>
    <w:rsid w:val="00D7694E"/>
    <w:rsid w:val="00D76AD5"/>
    <w:rsid w:val="00D772A9"/>
    <w:rsid w:val="00D77BDB"/>
    <w:rsid w:val="00D83E65"/>
    <w:rsid w:val="00D846B3"/>
    <w:rsid w:val="00D84E77"/>
    <w:rsid w:val="00D87948"/>
    <w:rsid w:val="00D9098E"/>
    <w:rsid w:val="00D933CE"/>
    <w:rsid w:val="00D9386C"/>
    <w:rsid w:val="00DA0AC7"/>
    <w:rsid w:val="00DA16AE"/>
    <w:rsid w:val="00DA1AEF"/>
    <w:rsid w:val="00DA1B42"/>
    <w:rsid w:val="00DA1B52"/>
    <w:rsid w:val="00DA2CE3"/>
    <w:rsid w:val="00DA41AE"/>
    <w:rsid w:val="00DA4E03"/>
    <w:rsid w:val="00DA66B4"/>
    <w:rsid w:val="00DB0DC8"/>
    <w:rsid w:val="00DB171C"/>
    <w:rsid w:val="00DB1AB7"/>
    <w:rsid w:val="00DB38C7"/>
    <w:rsid w:val="00DB4AF0"/>
    <w:rsid w:val="00DB5193"/>
    <w:rsid w:val="00DB5492"/>
    <w:rsid w:val="00DB750E"/>
    <w:rsid w:val="00DB7FA0"/>
    <w:rsid w:val="00DC1C35"/>
    <w:rsid w:val="00DC203F"/>
    <w:rsid w:val="00DC4DBD"/>
    <w:rsid w:val="00DC7FAF"/>
    <w:rsid w:val="00DD41AF"/>
    <w:rsid w:val="00DD538C"/>
    <w:rsid w:val="00DD6676"/>
    <w:rsid w:val="00DE0910"/>
    <w:rsid w:val="00DE18FD"/>
    <w:rsid w:val="00DE243B"/>
    <w:rsid w:val="00DE3EAE"/>
    <w:rsid w:val="00DE74C6"/>
    <w:rsid w:val="00DE7A92"/>
    <w:rsid w:val="00DF102E"/>
    <w:rsid w:val="00DF398E"/>
    <w:rsid w:val="00DF583F"/>
    <w:rsid w:val="00DF5D8C"/>
    <w:rsid w:val="00DF7E4E"/>
    <w:rsid w:val="00E02120"/>
    <w:rsid w:val="00E02170"/>
    <w:rsid w:val="00E0404D"/>
    <w:rsid w:val="00E06405"/>
    <w:rsid w:val="00E06746"/>
    <w:rsid w:val="00E11267"/>
    <w:rsid w:val="00E130E8"/>
    <w:rsid w:val="00E131D5"/>
    <w:rsid w:val="00E153CF"/>
    <w:rsid w:val="00E1697C"/>
    <w:rsid w:val="00E174CC"/>
    <w:rsid w:val="00E20BA4"/>
    <w:rsid w:val="00E212A3"/>
    <w:rsid w:val="00E21A94"/>
    <w:rsid w:val="00E23A67"/>
    <w:rsid w:val="00E270CB"/>
    <w:rsid w:val="00E2766C"/>
    <w:rsid w:val="00E31DC1"/>
    <w:rsid w:val="00E31F46"/>
    <w:rsid w:val="00E322B7"/>
    <w:rsid w:val="00E32392"/>
    <w:rsid w:val="00E3263B"/>
    <w:rsid w:val="00E32F80"/>
    <w:rsid w:val="00E336AE"/>
    <w:rsid w:val="00E3425A"/>
    <w:rsid w:val="00E37772"/>
    <w:rsid w:val="00E406D3"/>
    <w:rsid w:val="00E433EE"/>
    <w:rsid w:val="00E44278"/>
    <w:rsid w:val="00E57CBF"/>
    <w:rsid w:val="00E60560"/>
    <w:rsid w:val="00E60DF6"/>
    <w:rsid w:val="00E6118D"/>
    <w:rsid w:val="00E618C1"/>
    <w:rsid w:val="00E62786"/>
    <w:rsid w:val="00E64051"/>
    <w:rsid w:val="00E64E73"/>
    <w:rsid w:val="00E64ED3"/>
    <w:rsid w:val="00E64FF1"/>
    <w:rsid w:val="00E66254"/>
    <w:rsid w:val="00E66B9E"/>
    <w:rsid w:val="00E70E47"/>
    <w:rsid w:val="00E711AD"/>
    <w:rsid w:val="00E7380D"/>
    <w:rsid w:val="00E73BA5"/>
    <w:rsid w:val="00E74881"/>
    <w:rsid w:val="00E7524A"/>
    <w:rsid w:val="00E75D45"/>
    <w:rsid w:val="00E76147"/>
    <w:rsid w:val="00E77941"/>
    <w:rsid w:val="00E804D4"/>
    <w:rsid w:val="00E82BDD"/>
    <w:rsid w:val="00E837F8"/>
    <w:rsid w:val="00E84D59"/>
    <w:rsid w:val="00E87A51"/>
    <w:rsid w:val="00E90427"/>
    <w:rsid w:val="00E938F1"/>
    <w:rsid w:val="00E9508B"/>
    <w:rsid w:val="00EA20EC"/>
    <w:rsid w:val="00EA7DBC"/>
    <w:rsid w:val="00EB0D67"/>
    <w:rsid w:val="00EB1134"/>
    <w:rsid w:val="00EB311F"/>
    <w:rsid w:val="00EB341F"/>
    <w:rsid w:val="00EB3B06"/>
    <w:rsid w:val="00EB40E7"/>
    <w:rsid w:val="00EB4F46"/>
    <w:rsid w:val="00EB55AD"/>
    <w:rsid w:val="00EB5A6A"/>
    <w:rsid w:val="00EB6E6A"/>
    <w:rsid w:val="00EC0D46"/>
    <w:rsid w:val="00EC111A"/>
    <w:rsid w:val="00EC2C59"/>
    <w:rsid w:val="00EC2E09"/>
    <w:rsid w:val="00EC45A3"/>
    <w:rsid w:val="00EC7BA1"/>
    <w:rsid w:val="00ED4C44"/>
    <w:rsid w:val="00ED4DAB"/>
    <w:rsid w:val="00ED53AD"/>
    <w:rsid w:val="00ED6E35"/>
    <w:rsid w:val="00ED7BBE"/>
    <w:rsid w:val="00EE0B30"/>
    <w:rsid w:val="00EE0F0B"/>
    <w:rsid w:val="00EE1E3C"/>
    <w:rsid w:val="00EE2F1E"/>
    <w:rsid w:val="00EE5D28"/>
    <w:rsid w:val="00EE5EB7"/>
    <w:rsid w:val="00EE6A91"/>
    <w:rsid w:val="00EE7BEC"/>
    <w:rsid w:val="00EF03A9"/>
    <w:rsid w:val="00EF41EF"/>
    <w:rsid w:val="00EF64A6"/>
    <w:rsid w:val="00EF666B"/>
    <w:rsid w:val="00EF7A50"/>
    <w:rsid w:val="00F019FD"/>
    <w:rsid w:val="00F03183"/>
    <w:rsid w:val="00F0437C"/>
    <w:rsid w:val="00F053FC"/>
    <w:rsid w:val="00F06CA6"/>
    <w:rsid w:val="00F11B02"/>
    <w:rsid w:val="00F1383E"/>
    <w:rsid w:val="00F13CD6"/>
    <w:rsid w:val="00F13DAD"/>
    <w:rsid w:val="00F13E63"/>
    <w:rsid w:val="00F14064"/>
    <w:rsid w:val="00F14931"/>
    <w:rsid w:val="00F14ED8"/>
    <w:rsid w:val="00F15A0C"/>
    <w:rsid w:val="00F1659F"/>
    <w:rsid w:val="00F16B72"/>
    <w:rsid w:val="00F16BC7"/>
    <w:rsid w:val="00F204D9"/>
    <w:rsid w:val="00F216BF"/>
    <w:rsid w:val="00F266A7"/>
    <w:rsid w:val="00F2683A"/>
    <w:rsid w:val="00F305F3"/>
    <w:rsid w:val="00F319A1"/>
    <w:rsid w:val="00F31DF5"/>
    <w:rsid w:val="00F332A4"/>
    <w:rsid w:val="00F3482E"/>
    <w:rsid w:val="00F34EEB"/>
    <w:rsid w:val="00F36316"/>
    <w:rsid w:val="00F36708"/>
    <w:rsid w:val="00F36C11"/>
    <w:rsid w:val="00F41C61"/>
    <w:rsid w:val="00F42D0D"/>
    <w:rsid w:val="00F42EA9"/>
    <w:rsid w:val="00F43618"/>
    <w:rsid w:val="00F454A7"/>
    <w:rsid w:val="00F455D9"/>
    <w:rsid w:val="00F45614"/>
    <w:rsid w:val="00F45E54"/>
    <w:rsid w:val="00F46F34"/>
    <w:rsid w:val="00F47A8A"/>
    <w:rsid w:val="00F50F40"/>
    <w:rsid w:val="00F52315"/>
    <w:rsid w:val="00F52389"/>
    <w:rsid w:val="00F54948"/>
    <w:rsid w:val="00F54B46"/>
    <w:rsid w:val="00F563AD"/>
    <w:rsid w:val="00F5701E"/>
    <w:rsid w:val="00F57A3C"/>
    <w:rsid w:val="00F60040"/>
    <w:rsid w:val="00F614F7"/>
    <w:rsid w:val="00F615CB"/>
    <w:rsid w:val="00F62EF2"/>
    <w:rsid w:val="00F64A5E"/>
    <w:rsid w:val="00F6578C"/>
    <w:rsid w:val="00F66523"/>
    <w:rsid w:val="00F66A9B"/>
    <w:rsid w:val="00F66F38"/>
    <w:rsid w:val="00F6720E"/>
    <w:rsid w:val="00F67483"/>
    <w:rsid w:val="00F71478"/>
    <w:rsid w:val="00F71F7F"/>
    <w:rsid w:val="00F72EF7"/>
    <w:rsid w:val="00F73857"/>
    <w:rsid w:val="00F75041"/>
    <w:rsid w:val="00F75577"/>
    <w:rsid w:val="00F761BD"/>
    <w:rsid w:val="00F76CA6"/>
    <w:rsid w:val="00F80A09"/>
    <w:rsid w:val="00F81357"/>
    <w:rsid w:val="00F83B85"/>
    <w:rsid w:val="00F84AF9"/>
    <w:rsid w:val="00F86FD1"/>
    <w:rsid w:val="00F915B0"/>
    <w:rsid w:val="00F91D01"/>
    <w:rsid w:val="00F9395A"/>
    <w:rsid w:val="00F94533"/>
    <w:rsid w:val="00F94EB6"/>
    <w:rsid w:val="00F97926"/>
    <w:rsid w:val="00FA00CE"/>
    <w:rsid w:val="00FA00F0"/>
    <w:rsid w:val="00FA0591"/>
    <w:rsid w:val="00FA139A"/>
    <w:rsid w:val="00FA36DC"/>
    <w:rsid w:val="00FA4ECE"/>
    <w:rsid w:val="00FA64A8"/>
    <w:rsid w:val="00FA657C"/>
    <w:rsid w:val="00FA7CAB"/>
    <w:rsid w:val="00FB0992"/>
    <w:rsid w:val="00FB2769"/>
    <w:rsid w:val="00FB30ED"/>
    <w:rsid w:val="00FB36B7"/>
    <w:rsid w:val="00FB49DA"/>
    <w:rsid w:val="00FB52E3"/>
    <w:rsid w:val="00FB6981"/>
    <w:rsid w:val="00FB706A"/>
    <w:rsid w:val="00FC013A"/>
    <w:rsid w:val="00FC097B"/>
    <w:rsid w:val="00FC1B38"/>
    <w:rsid w:val="00FC2F62"/>
    <w:rsid w:val="00FC3B39"/>
    <w:rsid w:val="00FC5948"/>
    <w:rsid w:val="00FC6DE3"/>
    <w:rsid w:val="00FC7492"/>
    <w:rsid w:val="00FD1019"/>
    <w:rsid w:val="00FD2910"/>
    <w:rsid w:val="00FD3064"/>
    <w:rsid w:val="00FD3591"/>
    <w:rsid w:val="00FD4CA1"/>
    <w:rsid w:val="00FE3AF2"/>
    <w:rsid w:val="00FE3E43"/>
    <w:rsid w:val="00FE4513"/>
    <w:rsid w:val="00FE51FB"/>
    <w:rsid w:val="00FE564C"/>
    <w:rsid w:val="00FF1566"/>
    <w:rsid w:val="00FF5BF1"/>
    <w:rsid w:val="00FF71D4"/>
    <w:rsid w:val="00FF7381"/>
    <w:rsid w:val="00FF7D82"/>
    <w:rsid w:val="0145E472"/>
    <w:rsid w:val="01473B1A"/>
    <w:rsid w:val="014D1611"/>
    <w:rsid w:val="0165237B"/>
    <w:rsid w:val="01EDB8A2"/>
    <w:rsid w:val="037ED295"/>
    <w:rsid w:val="0385653C"/>
    <w:rsid w:val="03AEEFC6"/>
    <w:rsid w:val="04E68A74"/>
    <w:rsid w:val="05357B74"/>
    <w:rsid w:val="053C479A"/>
    <w:rsid w:val="05704F22"/>
    <w:rsid w:val="05A7C415"/>
    <w:rsid w:val="05BE389E"/>
    <w:rsid w:val="0630FC89"/>
    <w:rsid w:val="0650BDC4"/>
    <w:rsid w:val="0690B2C3"/>
    <w:rsid w:val="0714ECC8"/>
    <w:rsid w:val="0819FFE3"/>
    <w:rsid w:val="092DD562"/>
    <w:rsid w:val="09351342"/>
    <w:rsid w:val="09B6A178"/>
    <w:rsid w:val="09DFF7CC"/>
    <w:rsid w:val="0A52C87F"/>
    <w:rsid w:val="0B141456"/>
    <w:rsid w:val="0B3E618B"/>
    <w:rsid w:val="0BE2AE7B"/>
    <w:rsid w:val="0C114D97"/>
    <w:rsid w:val="0C2913A7"/>
    <w:rsid w:val="0CA45343"/>
    <w:rsid w:val="0D12DFA5"/>
    <w:rsid w:val="0DB019D6"/>
    <w:rsid w:val="0DCA1157"/>
    <w:rsid w:val="0E735F71"/>
    <w:rsid w:val="0E9DF6A8"/>
    <w:rsid w:val="0EAA619B"/>
    <w:rsid w:val="0F5A82E1"/>
    <w:rsid w:val="0FB4C4F8"/>
    <w:rsid w:val="0FF876D0"/>
    <w:rsid w:val="0FFBE96D"/>
    <w:rsid w:val="10698F41"/>
    <w:rsid w:val="10AF8605"/>
    <w:rsid w:val="10ECDB8A"/>
    <w:rsid w:val="1146F53D"/>
    <w:rsid w:val="130EA576"/>
    <w:rsid w:val="135C2C71"/>
    <w:rsid w:val="137E5ED3"/>
    <w:rsid w:val="15168C7A"/>
    <w:rsid w:val="153D6C73"/>
    <w:rsid w:val="15AE939B"/>
    <w:rsid w:val="16BE0B84"/>
    <w:rsid w:val="16E3FF0E"/>
    <w:rsid w:val="1704B002"/>
    <w:rsid w:val="173477D8"/>
    <w:rsid w:val="173A3245"/>
    <w:rsid w:val="17ECD43B"/>
    <w:rsid w:val="187A8D68"/>
    <w:rsid w:val="18C2E267"/>
    <w:rsid w:val="18F6AF31"/>
    <w:rsid w:val="19CD59EC"/>
    <w:rsid w:val="1A37CC05"/>
    <w:rsid w:val="1A688DBE"/>
    <w:rsid w:val="1A9685D9"/>
    <w:rsid w:val="1AA30BAC"/>
    <w:rsid w:val="1AAB76D4"/>
    <w:rsid w:val="1B6CC8F5"/>
    <w:rsid w:val="1BE2A1B6"/>
    <w:rsid w:val="1BEE30B2"/>
    <w:rsid w:val="1C05B6E5"/>
    <w:rsid w:val="1C16B633"/>
    <w:rsid w:val="1C315D54"/>
    <w:rsid w:val="1CC4D75A"/>
    <w:rsid w:val="1D2AC164"/>
    <w:rsid w:val="1E25FB84"/>
    <w:rsid w:val="1E4C28EE"/>
    <w:rsid w:val="1E5BC4F8"/>
    <w:rsid w:val="1E8E5F30"/>
    <w:rsid w:val="1E98CCCB"/>
    <w:rsid w:val="1EB58DA4"/>
    <w:rsid w:val="1F247112"/>
    <w:rsid w:val="1F3B556E"/>
    <w:rsid w:val="1FB2FF7D"/>
    <w:rsid w:val="1FEDA229"/>
    <w:rsid w:val="1FEEF179"/>
    <w:rsid w:val="200BB954"/>
    <w:rsid w:val="20259DDB"/>
    <w:rsid w:val="20263660"/>
    <w:rsid w:val="20480546"/>
    <w:rsid w:val="2060A92A"/>
    <w:rsid w:val="212196E5"/>
    <w:rsid w:val="21385EED"/>
    <w:rsid w:val="21806798"/>
    <w:rsid w:val="21A1ECCF"/>
    <w:rsid w:val="21E25376"/>
    <w:rsid w:val="21F8780F"/>
    <w:rsid w:val="227F7950"/>
    <w:rsid w:val="231243DB"/>
    <w:rsid w:val="239CA29B"/>
    <w:rsid w:val="24318CC4"/>
    <w:rsid w:val="250C9856"/>
    <w:rsid w:val="253537EC"/>
    <w:rsid w:val="25583182"/>
    <w:rsid w:val="2579ECB1"/>
    <w:rsid w:val="25AAA40A"/>
    <w:rsid w:val="25B4AED7"/>
    <w:rsid w:val="25C4FF16"/>
    <w:rsid w:val="2651D1B5"/>
    <w:rsid w:val="274387DA"/>
    <w:rsid w:val="2754A1E0"/>
    <w:rsid w:val="2801B373"/>
    <w:rsid w:val="286A3BCC"/>
    <w:rsid w:val="28733F59"/>
    <w:rsid w:val="28E26C86"/>
    <w:rsid w:val="2A5B2E88"/>
    <w:rsid w:val="2AFEE0D8"/>
    <w:rsid w:val="2B295864"/>
    <w:rsid w:val="2B344C94"/>
    <w:rsid w:val="2B3BD227"/>
    <w:rsid w:val="2B75BBA4"/>
    <w:rsid w:val="2B86BF18"/>
    <w:rsid w:val="2BC1E6AD"/>
    <w:rsid w:val="2BFDC266"/>
    <w:rsid w:val="2C2DE414"/>
    <w:rsid w:val="2C914E88"/>
    <w:rsid w:val="2E291DC9"/>
    <w:rsid w:val="2E39541C"/>
    <w:rsid w:val="2E809C54"/>
    <w:rsid w:val="2EB82BFD"/>
    <w:rsid w:val="2F686A96"/>
    <w:rsid w:val="2F7E2669"/>
    <w:rsid w:val="2FB77EB8"/>
    <w:rsid w:val="30C48041"/>
    <w:rsid w:val="31085A82"/>
    <w:rsid w:val="3180CFFD"/>
    <w:rsid w:val="3234A2F3"/>
    <w:rsid w:val="33CADF12"/>
    <w:rsid w:val="340877A5"/>
    <w:rsid w:val="345B1130"/>
    <w:rsid w:val="34E5AFCD"/>
    <w:rsid w:val="3548C63C"/>
    <w:rsid w:val="365DC8D2"/>
    <w:rsid w:val="369426E7"/>
    <w:rsid w:val="36B56C51"/>
    <w:rsid w:val="36C38661"/>
    <w:rsid w:val="36E0B3E1"/>
    <w:rsid w:val="37658F3D"/>
    <w:rsid w:val="379F4AE9"/>
    <w:rsid w:val="3829712C"/>
    <w:rsid w:val="3873C8D2"/>
    <w:rsid w:val="3892CD30"/>
    <w:rsid w:val="3908E986"/>
    <w:rsid w:val="398E357B"/>
    <w:rsid w:val="39B9A4B1"/>
    <w:rsid w:val="39ED1F0C"/>
    <w:rsid w:val="39FE60FE"/>
    <w:rsid w:val="3A5DF9B6"/>
    <w:rsid w:val="3AA216F6"/>
    <w:rsid w:val="3AAE286F"/>
    <w:rsid w:val="3AB26EDC"/>
    <w:rsid w:val="3AB4E7E3"/>
    <w:rsid w:val="3B321198"/>
    <w:rsid w:val="3B3DB0A3"/>
    <w:rsid w:val="3B582968"/>
    <w:rsid w:val="3B8CDD03"/>
    <w:rsid w:val="3CD38556"/>
    <w:rsid w:val="3D43132A"/>
    <w:rsid w:val="3DA40851"/>
    <w:rsid w:val="3E3B33C0"/>
    <w:rsid w:val="3E504339"/>
    <w:rsid w:val="3F49FC2D"/>
    <w:rsid w:val="3FB4A2BF"/>
    <w:rsid w:val="3FEF4636"/>
    <w:rsid w:val="4039245E"/>
    <w:rsid w:val="403F35A9"/>
    <w:rsid w:val="408F4006"/>
    <w:rsid w:val="40B7EC41"/>
    <w:rsid w:val="41A7588A"/>
    <w:rsid w:val="41C3CA35"/>
    <w:rsid w:val="41CD0B5B"/>
    <w:rsid w:val="42482242"/>
    <w:rsid w:val="4289CEA0"/>
    <w:rsid w:val="429A3F96"/>
    <w:rsid w:val="42C95AA9"/>
    <w:rsid w:val="430DA1B2"/>
    <w:rsid w:val="4361575A"/>
    <w:rsid w:val="438E5D5C"/>
    <w:rsid w:val="43DBD906"/>
    <w:rsid w:val="44264B13"/>
    <w:rsid w:val="44B29EF7"/>
    <w:rsid w:val="44C2AB29"/>
    <w:rsid w:val="451BC920"/>
    <w:rsid w:val="45C3623A"/>
    <w:rsid w:val="45F36171"/>
    <w:rsid w:val="4661C3FA"/>
    <w:rsid w:val="46E43F0F"/>
    <w:rsid w:val="4736275B"/>
    <w:rsid w:val="4753999B"/>
    <w:rsid w:val="47BB976D"/>
    <w:rsid w:val="4807DD6D"/>
    <w:rsid w:val="48DFAE60"/>
    <w:rsid w:val="4908B4AC"/>
    <w:rsid w:val="4A50C150"/>
    <w:rsid w:val="4A8001F8"/>
    <w:rsid w:val="4A8A82AC"/>
    <w:rsid w:val="4A9D4EDB"/>
    <w:rsid w:val="4AB6D8C0"/>
    <w:rsid w:val="4B1CE8A6"/>
    <w:rsid w:val="4B609BC6"/>
    <w:rsid w:val="4B71A829"/>
    <w:rsid w:val="4BB218B6"/>
    <w:rsid w:val="4BEA4E81"/>
    <w:rsid w:val="4BF4D3FA"/>
    <w:rsid w:val="4BF76944"/>
    <w:rsid w:val="4BFD5DFB"/>
    <w:rsid w:val="4C0D8148"/>
    <w:rsid w:val="4C18AD0F"/>
    <w:rsid w:val="4C6B0D30"/>
    <w:rsid w:val="4C7B5EE1"/>
    <w:rsid w:val="4C8A6234"/>
    <w:rsid w:val="4CD18C19"/>
    <w:rsid w:val="4D6F922F"/>
    <w:rsid w:val="4D7F5514"/>
    <w:rsid w:val="4D82CC10"/>
    <w:rsid w:val="4DB0582E"/>
    <w:rsid w:val="4DDE7A09"/>
    <w:rsid w:val="4E00FB6A"/>
    <w:rsid w:val="4E1A43A7"/>
    <w:rsid w:val="4E35F78D"/>
    <w:rsid w:val="4E7AF38D"/>
    <w:rsid w:val="4E9E23E6"/>
    <w:rsid w:val="4EBEABEA"/>
    <w:rsid w:val="4F65F627"/>
    <w:rsid w:val="4F6CD275"/>
    <w:rsid w:val="4FB5DC44"/>
    <w:rsid w:val="4FED0705"/>
    <w:rsid w:val="500BAC33"/>
    <w:rsid w:val="50B9ADB4"/>
    <w:rsid w:val="50E95EAC"/>
    <w:rsid w:val="513738BF"/>
    <w:rsid w:val="51DAA65A"/>
    <w:rsid w:val="51E62710"/>
    <w:rsid w:val="51EB1A40"/>
    <w:rsid w:val="51EC1B2D"/>
    <w:rsid w:val="529D6BDD"/>
    <w:rsid w:val="52E9E097"/>
    <w:rsid w:val="532622CF"/>
    <w:rsid w:val="5335FC09"/>
    <w:rsid w:val="53F6C557"/>
    <w:rsid w:val="540A8644"/>
    <w:rsid w:val="547AE2E0"/>
    <w:rsid w:val="54AE19F3"/>
    <w:rsid w:val="55327119"/>
    <w:rsid w:val="559AC6B1"/>
    <w:rsid w:val="559BCD3D"/>
    <w:rsid w:val="55F3BE7B"/>
    <w:rsid w:val="5661691B"/>
    <w:rsid w:val="57917EAF"/>
    <w:rsid w:val="57F2F06D"/>
    <w:rsid w:val="58081582"/>
    <w:rsid w:val="587FC813"/>
    <w:rsid w:val="5998280E"/>
    <w:rsid w:val="59DFC850"/>
    <w:rsid w:val="59E058FE"/>
    <w:rsid w:val="5A34097A"/>
    <w:rsid w:val="5A37CC56"/>
    <w:rsid w:val="5A4C3F13"/>
    <w:rsid w:val="5A59D578"/>
    <w:rsid w:val="5A63E6CE"/>
    <w:rsid w:val="5A7B4608"/>
    <w:rsid w:val="5A8D5349"/>
    <w:rsid w:val="5AD25BC7"/>
    <w:rsid w:val="5B94DA91"/>
    <w:rsid w:val="5BA4D258"/>
    <w:rsid w:val="5C3FFB3A"/>
    <w:rsid w:val="5CFACBB3"/>
    <w:rsid w:val="5D07526B"/>
    <w:rsid w:val="5E04CC08"/>
    <w:rsid w:val="5EA7EE0E"/>
    <w:rsid w:val="5FCB7313"/>
    <w:rsid w:val="60725921"/>
    <w:rsid w:val="607E54DF"/>
    <w:rsid w:val="61542B90"/>
    <w:rsid w:val="61D3DE85"/>
    <w:rsid w:val="61DF0FC7"/>
    <w:rsid w:val="62886FB9"/>
    <w:rsid w:val="62A9973B"/>
    <w:rsid w:val="62C699E4"/>
    <w:rsid w:val="63496A57"/>
    <w:rsid w:val="636B438F"/>
    <w:rsid w:val="636F16D1"/>
    <w:rsid w:val="63FD0BEC"/>
    <w:rsid w:val="6445D5E0"/>
    <w:rsid w:val="644AABE4"/>
    <w:rsid w:val="64E06827"/>
    <w:rsid w:val="64FAD7FC"/>
    <w:rsid w:val="64FD1EA3"/>
    <w:rsid w:val="65747D55"/>
    <w:rsid w:val="65D84B3E"/>
    <w:rsid w:val="65F1E627"/>
    <w:rsid w:val="66556903"/>
    <w:rsid w:val="6785FE73"/>
    <w:rsid w:val="680F8E10"/>
    <w:rsid w:val="689773BB"/>
    <w:rsid w:val="698349CE"/>
    <w:rsid w:val="6A3884AA"/>
    <w:rsid w:val="6A398EB6"/>
    <w:rsid w:val="6A4A3919"/>
    <w:rsid w:val="6A503348"/>
    <w:rsid w:val="6A9D2573"/>
    <w:rsid w:val="6AD7BBE1"/>
    <w:rsid w:val="6B47FEC6"/>
    <w:rsid w:val="6BEC0EDA"/>
    <w:rsid w:val="6C90EAE9"/>
    <w:rsid w:val="6CD210BA"/>
    <w:rsid w:val="6CEDA461"/>
    <w:rsid w:val="6D18AFB7"/>
    <w:rsid w:val="6D3A6DB8"/>
    <w:rsid w:val="6DD3179F"/>
    <w:rsid w:val="6E077C31"/>
    <w:rsid w:val="6E79CEF5"/>
    <w:rsid w:val="6E9DDA52"/>
    <w:rsid w:val="6FFEB420"/>
    <w:rsid w:val="712FE471"/>
    <w:rsid w:val="7187A0A5"/>
    <w:rsid w:val="7189A156"/>
    <w:rsid w:val="719BAFBD"/>
    <w:rsid w:val="71A93D94"/>
    <w:rsid w:val="71E73D3A"/>
    <w:rsid w:val="71ED03DD"/>
    <w:rsid w:val="720268D9"/>
    <w:rsid w:val="721C5C08"/>
    <w:rsid w:val="72C727A9"/>
    <w:rsid w:val="72EC942C"/>
    <w:rsid w:val="73795FBE"/>
    <w:rsid w:val="739FB1BC"/>
    <w:rsid w:val="747F0AA1"/>
    <w:rsid w:val="749FBA69"/>
    <w:rsid w:val="74C0FD22"/>
    <w:rsid w:val="74E8E42A"/>
    <w:rsid w:val="75634BB3"/>
    <w:rsid w:val="7592FF65"/>
    <w:rsid w:val="75A32753"/>
    <w:rsid w:val="75C46018"/>
    <w:rsid w:val="76E98412"/>
    <w:rsid w:val="76FCA78F"/>
    <w:rsid w:val="775FDA9D"/>
    <w:rsid w:val="77D44FBF"/>
    <w:rsid w:val="787F0066"/>
    <w:rsid w:val="788DA245"/>
    <w:rsid w:val="793C607B"/>
    <w:rsid w:val="795B6A8B"/>
    <w:rsid w:val="7975ABC4"/>
    <w:rsid w:val="79847EA9"/>
    <w:rsid w:val="7A26D332"/>
    <w:rsid w:val="7BA2B2F6"/>
    <w:rsid w:val="7BB5A94B"/>
    <w:rsid w:val="7C27F107"/>
    <w:rsid w:val="7CC95CC0"/>
    <w:rsid w:val="7CD8320D"/>
    <w:rsid w:val="7CDAD595"/>
    <w:rsid w:val="7D15B1EB"/>
    <w:rsid w:val="7D17EBDB"/>
    <w:rsid w:val="7DDF0EB0"/>
    <w:rsid w:val="7E26BC39"/>
    <w:rsid w:val="7E3D97F6"/>
    <w:rsid w:val="7E805224"/>
    <w:rsid w:val="7EF131ED"/>
    <w:rsid w:val="7F074C3D"/>
    <w:rsid w:val="7F0B04F2"/>
    <w:rsid w:val="7F1650F7"/>
    <w:rsid w:val="7F64704A"/>
    <w:rsid w:val="7FCD6E8D"/>
    <w:rsid w:val="7FEBC44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AF12B"/>
  <w15:chartTrackingRefBased/>
  <w15:docId w15:val="{4586CA64-5D53-484D-B016-50E1D012F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3A6"/>
    <w:pPr>
      <w:spacing w:line="360" w:lineRule="auto"/>
    </w:pPr>
    <w:rPr>
      <w:rFonts w:ascii="Arial" w:hAnsi="Arial"/>
      <w:sz w:val="24"/>
    </w:rPr>
  </w:style>
  <w:style w:type="paragraph" w:styleId="Heading1">
    <w:name w:val="heading 1"/>
    <w:basedOn w:val="Normal"/>
    <w:next w:val="Normal"/>
    <w:link w:val="Heading1Char"/>
    <w:uiPriority w:val="9"/>
    <w:qFormat/>
    <w:rsid w:val="004C183D"/>
    <w:pPr>
      <w:keepNext/>
      <w:keepLines/>
      <w:outlineLvl w:val="0"/>
    </w:pPr>
    <w:rPr>
      <w:rFonts w:ascii="Century Gothic" w:eastAsiaTheme="majorEastAsia" w:hAnsi="Century Gothic" w:cstheme="majorBidi"/>
      <w:b/>
      <w:color w:val="000000" w:themeColor="text1"/>
      <w:sz w:val="40"/>
      <w:szCs w:val="40"/>
    </w:rPr>
  </w:style>
  <w:style w:type="paragraph" w:styleId="Heading2">
    <w:name w:val="heading 2"/>
    <w:basedOn w:val="Normal"/>
    <w:next w:val="Normal"/>
    <w:link w:val="Heading2Char"/>
    <w:uiPriority w:val="9"/>
    <w:unhideWhenUsed/>
    <w:qFormat/>
    <w:rsid w:val="00A178DD"/>
    <w:pPr>
      <w:keepNext/>
      <w:keepLines/>
      <w:spacing w:before="360"/>
      <w:outlineLvl w:val="1"/>
    </w:pPr>
    <w:rPr>
      <w:rFonts w:ascii="Century Gothic" w:eastAsiaTheme="majorEastAsia" w:hAnsi="Century Gothic" w:cstheme="majorBidi"/>
      <w:b/>
      <w:color w:val="153D63" w:themeColor="text2" w:themeTint="E6"/>
      <w:sz w:val="36"/>
      <w:szCs w:val="32"/>
    </w:rPr>
  </w:style>
  <w:style w:type="paragraph" w:styleId="Heading3">
    <w:name w:val="heading 3"/>
    <w:basedOn w:val="Normal"/>
    <w:next w:val="Normal"/>
    <w:link w:val="Heading3Char"/>
    <w:uiPriority w:val="9"/>
    <w:unhideWhenUsed/>
    <w:qFormat/>
    <w:rsid w:val="00EB1134"/>
    <w:pPr>
      <w:keepNext/>
      <w:keepLines/>
      <w:spacing w:before="160" w:after="80"/>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7B71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71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71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71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71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71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183D"/>
    <w:rPr>
      <w:rFonts w:ascii="Century Gothic" w:eastAsiaTheme="majorEastAsia" w:hAnsi="Century Gothic" w:cstheme="majorBidi"/>
      <w:b/>
      <w:color w:val="000000" w:themeColor="text1"/>
      <w:sz w:val="40"/>
      <w:szCs w:val="40"/>
    </w:rPr>
  </w:style>
  <w:style w:type="character" w:customStyle="1" w:styleId="Heading2Char">
    <w:name w:val="Heading 2 Char"/>
    <w:basedOn w:val="DefaultParagraphFont"/>
    <w:link w:val="Heading2"/>
    <w:uiPriority w:val="9"/>
    <w:rsid w:val="00A178DD"/>
    <w:rPr>
      <w:rFonts w:ascii="Century Gothic" w:eastAsiaTheme="majorEastAsia" w:hAnsi="Century Gothic" w:cstheme="majorBidi"/>
      <w:b/>
      <w:color w:val="153D63" w:themeColor="text2" w:themeTint="E6"/>
      <w:sz w:val="36"/>
      <w:szCs w:val="32"/>
    </w:rPr>
  </w:style>
  <w:style w:type="character" w:customStyle="1" w:styleId="Heading3Char">
    <w:name w:val="Heading 3 Char"/>
    <w:basedOn w:val="DefaultParagraphFont"/>
    <w:link w:val="Heading3"/>
    <w:uiPriority w:val="9"/>
    <w:rsid w:val="00EB1134"/>
    <w:rPr>
      <w:rFonts w:ascii="Arial" w:eastAsiaTheme="majorEastAsia" w:hAnsi="Arial" w:cstheme="majorBidi"/>
      <w:sz w:val="24"/>
      <w:szCs w:val="28"/>
    </w:rPr>
  </w:style>
  <w:style w:type="character" w:customStyle="1" w:styleId="Heading4Char">
    <w:name w:val="Heading 4 Char"/>
    <w:basedOn w:val="DefaultParagraphFont"/>
    <w:link w:val="Heading4"/>
    <w:uiPriority w:val="9"/>
    <w:semiHidden/>
    <w:rsid w:val="007B71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71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71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71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71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71C8"/>
    <w:rPr>
      <w:rFonts w:eastAsiaTheme="majorEastAsia" w:cstheme="majorBidi"/>
      <w:color w:val="272727" w:themeColor="text1" w:themeTint="D8"/>
    </w:rPr>
  </w:style>
  <w:style w:type="paragraph" w:styleId="Title">
    <w:name w:val="Title"/>
    <w:basedOn w:val="Normal"/>
    <w:next w:val="Normal"/>
    <w:link w:val="TitleChar"/>
    <w:uiPriority w:val="10"/>
    <w:qFormat/>
    <w:rsid w:val="00043A7E"/>
    <w:pPr>
      <w:spacing w:line="240" w:lineRule="auto"/>
      <w:contextualSpacing/>
    </w:pPr>
    <w:rPr>
      <w:rFonts w:eastAsiaTheme="majorEastAsia" w:cstheme="majorBidi"/>
      <w:spacing w:val="-10"/>
      <w:kern w:val="28"/>
      <w:sz w:val="72"/>
      <w:szCs w:val="56"/>
    </w:rPr>
  </w:style>
  <w:style w:type="character" w:customStyle="1" w:styleId="TitleChar">
    <w:name w:val="Title Char"/>
    <w:basedOn w:val="DefaultParagraphFont"/>
    <w:link w:val="Title"/>
    <w:uiPriority w:val="10"/>
    <w:rsid w:val="00043A7E"/>
    <w:rPr>
      <w:rFonts w:ascii="Arial" w:eastAsiaTheme="majorEastAsia" w:hAnsi="Arial" w:cstheme="majorBidi"/>
      <w:spacing w:val="-10"/>
      <w:kern w:val="28"/>
      <w:sz w:val="72"/>
      <w:szCs w:val="56"/>
    </w:rPr>
  </w:style>
  <w:style w:type="paragraph" w:styleId="Subtitle">
    <w:name w:val="Subtitle"/>
    <w:basedOn w:val="Normal"/>
    <w:next w:val="Normal"/>
    <w:link w:val="SubtitleChar"/>
    <w:uiPriority w:val="11"/>
    <w:qFormat/>
    <w:rsid w:val="007B71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71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6CA6"/>
    <w:pPr>
      <w:ind w:left="567" w:right="567"/>
    </w:pPr>
    <w:rPr>
      <w:i/>
      <w:iCs/>
    </w:rPr>
  </w:style>
  <w:style w:type="character" w:customStyle="1" w:styleId="QuoteChar">
    <w:name w:val="Quote Char"/>
    <w:basedOn w:val="DefaultParagraphFont"/>
    <w:link w:val="Quote"/>
    <w:uiPriority w:val="29"/>
    <w:rsid w:val="00F76CA6"/>
    <w:rPr>
      <w:rFonts w:ascii="Arial" w:hAnsi="Arial"/>
      <w:i/>
      <w:iCs/>
      <w:sz w:val="24"/>
    </w:rPr>
  </w:style>
  <w:style w:type="paragraph" w:styleId="ListParagraph">
    <w:name w:val="List Paragraph"/>
    <w:basedOn w:val="Normal"/>
    <w:uiPriority w:val="34"/>
    <w:qFormat/>
    <w:rsid w:val="00BD1107"/>
    <w:pPr>
      <w:ind w:left="1151" w:hanging="357"/>
    </w:pPr>
  </w:style>
  <w:style w:type="character" w:styleId="IntenseEmphasis">
    <w:name w:val="Intense Emphasis"/>
    <w:basedOn w:val="DefaultParagraphFont"/>
    <w:uiPriority w:val="21"/>
    <w:qFormat/>
    <w:rsid w:val="007B71C8"/>
    <w:rPr>
      <w:i/>
      <w:iCs/>
      <w:color w:val="0F4761" w:themeColor="accent1" w:themeShade="BF"/>
    </w:rPr>
  </w:style>
  <w:style w:type="paragraph" w:styleId="IntenseQuote">
    <w:name w:val="Intense Quote"/>
    <w:basedOn w:val="Normal"/>
    <w:next w:val="Normal"/>
    <w:link w:val="IntenseQuoteChar"/>
    <w:uiPriority w:val="30"/>
    <w:qFormat/>
    <w:rsid w:val="007B71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71C8"/>
    <w:rPr>
      <w:i/>
      <w:iCs/>
      <w:color w:val="0F4761" w:themeColor="accent1" w:themeShade="BF"/>
    </w:rPr>
  </w:style>
  <w:style w:type="character" w:styleId="IntenseReference">
    <w:name w:val="Intense Reference"/>
    <w:basedOn w:val="DefaultParagraphFont"/>
    <w:uiPriority w:val="32"/>
    <w:qFormat/>
    <w:rsid w:val="007B71C8"/>
    <w:rPr>
      <w:b/>
      <w:bCs/>
      <w:smallCaps/>
      <w:color w:val="0F4761" w:themeColor="accent1" w:themeShade="BF"/>
      <w:spacing w:val="5"/>
    </w:rPr>
  </w:style>
  <w:style w:type="table" w:styleId="TableGrid">
    <w:name w:val="Table Grid"/>
    <w:basedOn w:val="TableNormal"/>
    <w:uiPriority w:val="39"/>
    <w:rsid w:val="00352AC3"/>
    <w:pPr>
      <w:spacing w:line="36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blHeader/>
    </w:trPr>
  </w:style>
  <w:style w:type="paragraph" w:styleId="FootnoteText">
    <w:name w:val="footnote text"/>
    <w:basedOn w:val="Normal"/>
    <w:link w:val="FootnoteTextChar"/>
    <w:uiPriority w:val="99"/>
    <w:semiHidden/>
    <w:unhideWhenUsed/>
    <w:rsid w:val="000A44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446C"/>
    <w:rPr>
      <w:sz w:val="20"/>
      <w:szCs w:val="20"/>
    </w:rPr>
  </w:style>
  <w:style w:type="character" w:styleId="FootnoteReference">
    <w:name w:val="footnote reference"/>
    <w:basedOn w:val="DefaultParagraphFont"/>
    <w:uiPriority w:val="99"/>
    <w:semiHidden/>
    <w:unhideWhenUsed/>
    <w:rsid w:val="000A446C"/>
    <w:rPr>
      <w:vertAlign w:val="superscript"/>
    </w:rPr>
  </w:style>
  <w:style w:type="character" w:styleId="CommentReference">
    <w:name w:val="annotation reference"/>
    <w:basedOn w:val="DefaultParagraphFont"/>
    <w:uiPriority w:val="99"/>
    <w:semiHidden/>
    <w:unhideWhenUsed/>
    <w:rsid w:val="001E1B4E"/>
    <w:rPr>
      <w:sz w:val="16"/>
      <w:szCs w:val="16"/>
    </w:rPr>
  </w:style>
  <w:style w:type="paragraph" w:styleId="CommentText">
    <w:name w:val="annotation text"/>
    <w:basedOn w:val="Normal"/>
    <w:link w:val="CommentTextChar"/>
    <w:uiPriority w:val="99"/>
    <w:unhideWhenUsed/>
    <w:rsid w:val="001E1B4E"/>
    <w:pPr>
      <w:spacing w:line="240" w:lineRule="auto"/>
    </w:pPr>
    <w:rPr>
      <w:sz w:val="20"/>
      <w:szCs w:val="20"/>
    </w:rPr>
  </w:style>
  <w:style w:type="character" w:customStyle="1" w:styleId="CommentTextChar">
    <w:name w:val="Comment Text Char"/>
    <w:basedOn w:val="DefaultParagraphFont"/>
    <w:link w:val="CommentText"/>
    <w:uiPriority w:val="99"/>
    <w:rsid w:val="001E1B4E"/>
    <w:rPr>
      <w:sz w:val="20"/>
      <w:szCs w:val="20"/>
    </w:rPr>
  </w:style>
  <w:style w:type="paragraph" w:styleId="CommentSubject">
    <w:name w:val="annotation subject"/>
    <w:basedOn w:val="CommentText"/>
    <w:next w:val="CommentText"/>
    <w:link w:val="CommentSubjectChar"/>
    <w:uiPriority w:val="99"/>
    <w:semiHidden/>
    <w:unhideWhenUsed/>
    <w:rsid w:val="001E1B4E"/>
    <w:rPr>
      <w:b/>
      <w:bCs/>
    </w:rPr>
  </w:style>
  <w:style w:type="character" w:customStyle="1" w:styleId="CommentSubjectChar">
    <w:name w:val="Comment Subject Char"/>
    <w:basedOn w:val="CommentTextChar"/>
    <w:link w:val="CommentSubject"/>
    <w:uiPriority w:val="99"/>
    <w:semiHidden/>
    <w:rsid w:val="001E1B4E"/>
    <w:rPr>
      <w:b/>
      <w:bCs/>
      <w:sz w:val="20"/>
      <w:szCs w:val="20"/>
    </w:rPr>
  </w:style>
  <w:style w:type="paragraph" w:styleId="Header">
    <w:name w:val="header"/>
    <w:basedOn w:val="Normal"/>
    <w:link w:val="HeaderChar"/>
    <w:uiPriority w:val="99"/>
    <w:unhideWhenUsed/>
    <w:rsid w:val="004E3E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3EA3"/>
  </w:style>
  <w:style w:type="paragraph" w:styleId="Footer">
    <w:name w:val="footer"/>
    <w:basedOn w:val="Normal"/>
    <w:link w:val="FooterChar"/>
    <w:uiPriority w:val="99"/>
    <w:unhideWhenUsed/>
    <w:rsid w:val="004E3E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3EA3"/>
  </w:style>
  <w:style w:type="paragraph" w:customStyle="1" w:styleId="paragraph">
    <w:name w:val="paragraph"/>
    <w:basedOn w:val="Normal"/>
    <w:rsid w:val="004541DB"/>
    <w:pPr>
      <w:spacing w:before="100" w:beforeAutospacing="1" w:after="100" w:afterAutospacing="1" w:line="240" w:lineRule="auto"/>
    </w:pPr>
    <w:rPr>
      <w:rFonts w:ascii="Times New Roman" w:eastAsia="Times New Roman" w:hAnsi="Times New Roman" w:cs="Times New Roman"/>
      <w:kern w:val="0"/>
      <w:szCs w:val="24"/>
      <w:lang w:eastAsia="en-GB"/>
      <w14:ligatures w14:val="none"/>
    </w:rPr>
  </w:style>
  <w:style w:type="character" w:customStyle="1" w:styleId="normaltextrun">
    <w:name w:val="normaltextrun"/>
    <w:basedOn w:val="DefaultParagraphFont"/>
    <w:rsid w:val="004541DB"/>
  </w:style>
  <w:style w:type="character" w:customStyle="1" w:styleId="eop">
    <w:name w:val="eop"/>
    <w:basedOn w:val="DefaultParagraphFont"/>
    <w:rsid w:val="004541DB"/>
  </w:style>
  <w:style w:type="character" w:styleId="Hyperlink">
    <w:name w:val="Hyperlink"/>
    <w:basedOn w:val="DefaultParagraphFont"/>
    <w:uiPriority w:val="99"/>
    <w:unhideWhenUsed/>
    <w:rsid w:val="00D7164D"/>
    <w:rPr>
      <w:color w:val="467886" w:themeColor="hyperlink"/>
      <w:u w:val="single"/>
    </w:rPr>
  </w:style>
  <w:style w:type="character" w:styleId="UnresolvedMention">
    <w:name w:val="Unresolved Mention"/>
    <w:basedOn w:val="DefaultParagraphFont"/>
    <w:uiPriority w:val="99"/>
    <w:semiHidden/>
    <w:unhideWhenUsed/>
    <w:rsid w:val="00D7164D"/>
    <w:rPr>
      <w:color w:val="605E5C"/>
      <w:shd w:val="clear" w:color="auto" w:fill="E1DFDD"/>
    </w:rPr>
  </w:style>
  <w:style w:type="character" w:styleId="FollowedHyperlink">
    <w:name w:val="FollowedHyperlink"/>
    <w:basedOn w:val="DefaultParagraphFont"/>
    <w:uiPriority w:val="99"/>
    <w:semiHidden/>
    <w:unhideWhenUsed/>
    <w:rsid w:val="00D7164D"/>
    <w:rPr>
      <w:color w:val="96607D" w:themeColor="followedHyperlink"/>
      <w:u w:val="single"/>
    </w:rPr>
  </w:style>
  <w:style w:type="paragraph" w:styleId="Revision">
    <w:name w:val="Revision"/>
    <w:hidden/>
    <w:uiPriority w:val="99"/>
    <w:semiHidden/>
    <w:rsid w:val="0070482D"/>
    <w:pPr>
      <w:spacing w:after="0" w:line="240" w:lineRule="auto"/>
    </w:pPr>
  </w:style>
  <w:style w:type="paragraph" w:styleId="TOC1">
    <w:name w:val="toc 1"/>
    <w:basedOn w:val="Normal"/>
    <w:next w:val="Normal"/>
    <w:autoRedefine/>
    <w:uiPriority w:val="39"/>
    <w:unhideWhenUsed/>
    <w:rsid w:val="007D2706"/>
    <w:pPr>
      <w:spacing w:after="100"/>
    </w:pPr>
  </w:style>
  <w:style w:type="paragraph" w:styleId="TOC2">
    <w:name w:val="toc 2"/>
    <w:basedOn w:val="Normal"/>
    <w:next w:val="Normal"/>
    <w:autoRedefine/>
    <w:uiPriority w:val="39"/>
    <w:unhideWhenUsed/>
    <w:rsid w:val="007E0272"/>
    <w:pPr>
      <w:spacing w:after="100"/>
      <w:ind w:left="240"/>
    </w:pPr>
  </w:style>
  <w:style w:type="paragraph" w:styleId="NoSpacing">
    <w:name w:val="No Spacing"/>
    <w:uiPriority w:val="1"/>
    <w:qFormat/>
    <w:rsid w:val="00003C92"/>
    <w:pPr>
      <w:spacing w:after="0" w:line="240" w:lineRule="auto"/>
    </w:pPr>
    <w:rPr>
      <w:rFonts w:ascii="Arial" w:hAnsi="Arial"/>
      <w:sz w:val="24"/>
    </w:rPr>
  </w:style>
  <w:style w:type="character" w:styleId="Mention">
    <w:name w:val="Mention"/>
    <w:basedOn w:val="DefaultParagraphFont"/>
    <w:uiPriority w:val="99"/>
    <w:unhideWhenUsed/>
    <w:rsid w:val="002658B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ion.gov.uk/ssi/2021/148/introduction/made" TargetMode="External"/><Relationship Id="rId18" Type="http://schemas.openxmlformats.org/officeDocument/2006/relationships/hyperlink" Target="https://aib.gov.uk/publications/stage-three-review-final-report/supporting-documents" TargetMode="External"/><Relationship Id="rId26" Type="http://schemas.openxmlformats.org/officeDocument/2006/relationships/hyperlink" Target="https://aib.gov.uk/publications/stage-three-review-final-report/supporting-documents" TargetMode="External"/><Relationship Id="rId3" Type="http://schemas.openxmlformats.org/officeDocument/2006/relationships/customXml" Target="../customXml/item3.xml"/><Relationship Id="rId21" Type="http://schemas.openxmlformats.org/officeDocument/2006/relationships/hyperlink" Target="https://www.fca.org.uk/publication/correspondence/consumer-duty-letter-debt-advice.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legislation.gov.uk/ssi/2024/48/contents/made" TargetMode="External"/><Relationship Id="rId25" Type="http://schemas.openxmlformats.org/officeDocument/2006/relationships/hyperlink" Target="https://aib.gov.uk/publications/stage-three-review-final-report/supporting-documents" TargetMode="External"/><Relationship Id="rId2" Type="http://schemas.openxmlformats.org/officeDocument/2006/relationships/customXml" Target="../customXml/item2.xml"/><Relationship Id="rId16" Type="http://schemas.openxmlformats.org/officeDocument/2006/relationships/hyperlink" Target="https://www.legislation.gov.uk/ssi/2024/198/contents/made" TargetMode="External"/><Relationship Id="rId20" Type="http://schemas.openxmlformats.org/officeDocument/2006/relationships/hyperlink" Target="https://aib.gov.uk/publications/stage-three-review-final-report/supporting-document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aib.gov.uk/publications/stage-three-review-final-report/supporting-documents" TargetMode="External"/><Relationship Id="rId5" Type="http://schemas.openxmlformats.org/officeDocument/2006/relationships/numbering" Target="numbering.xml"/><Relationship Id="rId15" Type="http://schemas.openxmlformats.org/officeDocument/2006/relationships/hyperlink" Target="https://www.legislation.gov.uk/ssi/2023/9/contents/made" TargetMode="External"/><Relationship Id="rId23" Type="http://schemas.openxmlformats.org/officeDocument/2006/relationships/hyperlink" Target="https://www.aib.gov.uk/media/z0plfv1e/stage-three-review-feedback-and-recommendations-publishedversion.docx"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aib.gov.uk/publications/stage-three-review-final-report/supporting-documents" TargetMode="External"/><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asp/2024/9/contents" TargetMode="External"/><Relationship Id="rId22" Type="http://schemas.openxmlformats.org/officeDocument/2006/relationships/hyperlink" Target="https://aib.gov.uk/publications/stage-three-review-final-report/supporting-documents"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f46d7a4-1c18-40af-97dd-308358f93700">
      <Terms xmlns="http://schemas.microsoft.com/office/infopath/2007/PartnerControls"/>
    </lcf76f155ced4ddcb4097134ff3c332f>
    <TaxCatchAll xmlns="8e584f2b-c680-45b2-8a44-3baa5b5f6029" xsi:nil="true"/>
    <MovedtoeRDM xmlns="6f46d7a4-1c18-40af-97dd-308358f9370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276C8FFE1A584D9D97510351BD52E8" ma:contentTypeVersion="14" ma:contentTypeDescription="Create a new document." ma:contentTypeScope="" ma:versionID="f1e003dcace8c8edb652afbeb2dd925b">
  <xsd:schema xmlns:xsd="http://www.w3.org/2001/XMLSchema" xmlns:xs="http://www.w3.org/2001/XMLSchema" xmlns:p="http://schemas.microsoft.com/office/2006/metadata/properties" xmlns:ns2="6f46d7a4-1c18-40af-97dd-308358f93700" xmlns:ns3="8e584f2b-c680-45b2-8a44-3baa5b5f6029" targetNamespace="http://schemas.microsoft.com/office/2006/metadata/properties" ma:root="true" ma:fieldsID="fb23caf9a6bac01b10a626cff034b1a3" ns2:_="" ns3:_="">
    <xsd:import namespace="6f46d7a4-1c18-40af-97dd-308358f93700"/>
    <xsd:import namespace="8e584f2b-c680-45b2-8a44-3baa5b5f602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ovedtoeRDM"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d7a4-1c18-40af-97dd-308358f937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ovedtoeRDM" ma:index="13" nillable="true" ma:displayName="Moved to eRDM" ma:format="Dropdown" ma:internalName="MovedtoeRDM">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94d5e3d-88e3-4c55-b684-1c81dd55b71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584f2b-c680-45b2-8a44-3baa5b5f60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0ffd1b54-bd7c-49de-bd99-f419cba9e14b}" ma:internalName="TaxCatchAll" ma:showField="CatchAllData" ma:web="8e584f2b-c680-45b2-8a44-3baa5b5f60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EF197-FBCB-44CA-B2E1-4D2976F8A75D}">
  <ds:schemaRefs>
    <ds:schemaRef ds:uri="http://schemas.microsoft.com/sharepoint/v3/contenttype/forms"/>
  </ds:schemaRefs>
</ds:datastoreItem>
</file>

<file path=customXml/itemProps2.xml><?xml version="1.0" encoding="utf-8"?>
<ds:datastoreItem xmlns:ds="http://schemas.openxmlformats.org/officeDocument/2006/customXml" ds:itemID="{A73EC3F4-F2AB-48DB-BF63-D0EF90FA8410}">
  <ds:schemaRefs>
    <ds:schemaRef ds:uri="http://schemas.microsoft.com/office/2006/metadata/properties"/>
    <ds:schemaRef ds:uri="http://schemas.microsoft.com/office/infopath/2007/PartnerControls"/>
    <ds:schemaRef ds:uri="6f46d7a4-1c18-40af-97dd-308358f93700"/>
    <ds:schemaRef ds:uri="8e584f2b-c680-45b2-8a44-3baa5b5f6029"/>
  </ds:schemaRefs>
</ds:datastoreItem>
</file>

<file path=customXml/itemProps3.xml><?xml version="1.0" encoding="utf-8"?>
<ds:datastoreItem xmlns:ds="http://schemas.openxmlformats.org/officeDocument/2006/customXml" ds:itemID="{5AAE0749-0CDB-44CA-9FBE-BFC2B9BD41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6d7a4-1c18-40af-97dd-308358f93700"/>
    <ds:schemaRef ds:uri="8e584f2b-c680-45b2-8a44-3baa5b5f60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DD4758-5D75-4937-8526-6AF3907854E4}">
  <ds:schemaRefs>
    <ds:schemaRef ds:uri="http://schemas.openxmlformats.org/officeDocument/2006/bibliography"/>
  </ds:schemaRefs>
</ds:datastoreItem>
</file>

<file path=docMetadata/LabelInfo.xml><?xml version="1.0" encoding="utf-8"?>
<clbl:labelList xmlns:clbl="http://schemas.microsoft.com/office/2020/mipLabelMetadata">
  <clbl:label id="{0ef77447-1083-4dec-b89f-27c765076840}" enabled="0" method="" siteId="{0ef77447-1083-4dec-b89f-27c765076840}" removed="1"/>
</clbl:labelList>
</file>

<file path=docProps/app.xml><?xml version="1.0" encoding="utf-8"?>
<Properties xmlns="http://schemas.openxmlformats.org/officeDocument/2006/extended-properties" xmlns:vt="http://schemas.openxmlformats.org/officeDocument/2006/docPropsVTypes">
  <Template>Normal.dotm</Template>
  <TotalTime>8</TotalTime>
  <Pages>30</Pages>
  <Words>7140</Words>
  <Characters>39914</Characters>
  <Application>Microsoft Office Word</Application>
  <DocSecurity>0</DocSecurity>
  <Lines>753</Lines>
  <Paragraphs>255</Paragraphs>
  <ScaleCrop>false</ScaleCrop>
  <HeadingPairs>
    <vt:vector size="2" baseType="variant">
      <vt:variant>
        <vt:lpstr>Title</vt:lpstr>
      </vt:variant>
      <vt:variant>
        <vt:i4>1</vt:i4>
      </vt:variant>
    </vt:vector>
  </HeadingPairs>
  <TitlesOfParts>
    <vt:vector size="1" baseType="lpstr">
      <vt:lpstr>Stage Three Review of Scotland’s Statutory Debt Solutions: The Final Report</vt:lpstr>
    </vt:vector>
  </TitlesOfParts>
  <Company/>
  <LinksUpToDate>false</LinksUpToDate>
  <CharactersWithSpaces>46799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Three Review of Scotland’s Statutory Debt Solutions: The Final Report</dc:title>
  <dc:subject/>
  <dc:creator>Craig Simmons</dc:creator>
  <cp:keywords/>
  <dc:description/>
  <cp:lastModifiedBy>Allan Holmes</cp:lastModifiedBy>
  <cp:revision>2</cp:revision>
  <dcterms:created xsi:type="dcterms:W3CDTF">2026-03-12T14:10:00Z</dcterms:created>
  <dcterms:modified xsi:type="dcterms:W3CDTF">2026-03-12T14:10:00Z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0x01010071276C8FFE1A584D9D97510351BD52E8</vt:lpwstr>
  </property>
  <property fmtid="{D5CDD505-2E9C-101B-9397-08002B2CF9AE}" pid="3" name="MediaServiceImageTags">
    <vt:lpwstr/>
  </property>
</Properties>
</file>