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08CBB" w14:textId="77777777" w:rsidR="0006284E" w:rsidRPr="0006284E" w:rsidRDefault="0006284E" w:rsidP="005A7260">
      <w:pPr>
        <w:spacing w:before="240" w:after="240" w:line="360" w:lineRule="auto"/>
        <w:jc w:val="center"/>
        <w:rPr>
          <w:rFonts w:ascii="Arial" w:hAnsi="Arial" w:cs="Arial"/>
          <w:b/>
          <w:sz w:val="48"/>
          <w:szCs w:val="48"/>
        </w:rPr>
      </w:pPr>
      <w:r w:rsidRPr="0006284E">
        <w:rPr>
          <w:rFonts w:ascii="Arial" w:hAnsi="Arial" w:cs="Arial"/>
          <w:b/>
          <w:noProof/>
          <w:sz w:val="48"/>
          <w:szCs w:val="48"/>
        </w:rPr>
        <w:drawing>
          <wp:inline distT="0" distB="0" distL="0" distR="0" wp14:anchorId="1F148907" wp14:editId="300CD23D">
            <wp:extent cx="2170176" cy="1005840"/>
            <wp:effectExtent l="0" t="0" r="1905" b="3810"/>
            <wp:docPr id="1360467521"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67521" name="Picture 1" descr="AiB logo"/>
                    <pic:cNvPicPr/>
                  </pic:nvPicPr>
                  <pic:blipFill>
                    <a:blip r:embed="rId8">
                      <a:extLst>
                        <a:ext uri="{28A0092B-C50C-407E-A947-70E740481C1C}">
                          <a14:useLocalDpi xmlns:a14="http://schemas.microsoft.com/office/drawing/2010/main" val="0"/>
                        </a:ext>
                      </a:extLst>
                    </a:blip>
                    <a:stretch>
                      <a:fillRect/>
                    </a:stretch>
                  </pic:blipFill>
                  <pic:spPr>
                    <a:xfrm>
                      <a:off x="0" y="0"/>
                      <a:ext cx="2170176" cy="1005840"/>
                    </a:xfrm>
                    <a:prstGeom prst="rect">
                      <a:avLst/>
                    </a:prstGeom>
                  </pic:spPr>
                </pic:pic>
              </a:graphicData>
            </a:graphic>
          </wp:inline>
        </w:drawing>
      </w:r>
    </w:p>
    <w:p w14:paraId="6B678D69" w14:textId="77777777" w:rsidR="005F4942" w:rsidRDefault="005F4942" w:rsidP="005A7260">
      <w:pPr>
        <w:tabs>
          <w:tab w:val="clear" w:pos="720"/>
          <w:tab w:val="clear" w:pos="1440"/>
          <w:tab w:val="clear" w:pos="2160"/>
          <w:tab w:val="clear" w:pos="2880"/>
          <w:tab w:val="clear" w:pos="4680"/>
          <w:tab w:val="clear" w:pos="5400"/>
          <w:tab w:val="clear" w:pos="9000"/>
        </w:tabs>
        <w:spacing w:before="240" w:after="240" w:line="360" w:lineRule="auto"/>
        <w:jc w:val="center"/>
        <w:rPr>
          <w:rFonts w:ascii="Arial" w:hAnsi="Arial" w:cs="Arial"/>
          <w:b/>
          <w:sz w:val="48"/>
          <w:szCs w:val="48"/>
        </w:rPr>
      </w:pPr>
      <w:r>
        <w:rPr>
          <w:rFonts w:ascii="Arial" w:hAnsi="Arial" w:cs="Arial"/>
          <w:b/>
          <w:sz w:val="48"/>
          <w:szCs w:val="48"/>
        </w:rPr>
        <w:t>Non-executive board member</w:t>
      </w:r>
    </w:p>
    <w:p w14:paraId="390BA22A" w14:textId="43609601" w:rsidR="0006284E" w:rsidRDefault="009B7CD9" w:rsidP="005A7260">
      <w:pPr>
        <w:tabs>
          <w:tab w:val="clear" w:pos="720"/>
          <w:tab w:val="clear" w:pos="1440"/>
          <w:tab w:val="clear" w:pos="2160"/>
          <w:tab w:val="clear" w:pos="2880"/>
          <w:tab w:val="clear" w:pos="4680"/>
          <w:tab w:val="clear" w:pos="5400"/>
          <w:tab w:val="clear" w:pos="9000"/>
        </w:tabs>
        <w:spacing w:before="240" w:after="240" w:line="360" w:lineRule="auto"/>
        <w:jc w:val="center"/>
        <w:rPr>
          <w:rFonts w:ascii="Arial" w:hAnsi="Arial" w:cs="Arial"/>
          <w:b/>
          <w:sz w:val="48"/>
          <w:szCs w:val="48"/>
        </w:rPr>
      </w:pPr>
      <w:r>
        <w:rPr>
          <w:rFonts w:ascii="Arial" w:hAnsi="Arial" w:cs="Arial"/>
          <w:b/>
          <w:sz w:val="48"/>
          <w:szCs w:val="48"/>
        </w:rPr>
        <w:t>Application i</w:t>
      </w:r>
      <w:r w:rsidR="0006284E">
        <w:rPr>
          <w:rFonts w:ascii="Arial" w:hAnsi="Arial" w:cs="Arial"/>
          <w:b/>
          <w:sz w:val="48"/>
          <w:szCs w:val="48"/>
        </w:rPr>
        <w:t>nformation pack</w:t>
      </w:r>
    </w:p>
    <w:p w14:paraId="07BB2BB5" w14:textId="32887C0C" w:rsidR="0006284E" w:rsidRDefault="0006284E" w:rsidP="005A7260">
      <w:pPr>
        <w:pStyle w:val="Heading2"/>
        <w:spacing w:before="240" w:after="240" w:line="360" w:lineRule="auto"/>
      </w:pPr>
      <w:r>
        <w:t>Information about the role</w:t>
      </w:r>
    </w:p>
    <w:p w14:paraId="3365955E" w14:textId="77777777" w:rsidR="00E42B45" w:rsidRDefault="00E42B45" w:rsidP="005A7260">
      <w:pPr>
        <w:pStyle w:val="Heading3"/>
        <w:spacing w:before="240" w:after="240" w:line="360" w:lineRule="auto"/>
        <w:rPr>
          <w:rFonts w:ascii="Segoe UI" w:hAnsi="Segoe UI" w:cs="Segoe UI"/>
          <w:sz w:val="18"/>
          <w:szCs w:val="18"/>
        </w:rPr>
      </w:pPr>
      <w:r>
        <w:rPr>
          <w:rStyle w:val="normaltextrun"/>
          <w:rFonts w:cs="Arial"/>
          <w:bCs/>
        </w:rPr>
        <w:t>Period of Appointment</w:t>
      </w:r>
    </w:p>
    <w:p w14:paraId="5B1FF650" w14:textId="77777777" w:rsidR="00E42B45" w:rsidRDefault="00E42B45"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The appointment will be for a period of two years with the option of reappointment up to a maximum of 6 years, subject to a satisfactory performance assessment and meeting the continuing requirements of AiB.</w:t>
      </w:r>
    </w:p>
    <w:p w14:paraId="7439399F" w14:textId="77777777" w:rsidR="00E42B45" w:rsidRDefault="00E42B45" w:rsidP="005A7260">
      <w:pPr>
        <w:pStyle w:val="Heading3"/>
        <w:spacing w:before="240" w:after="240" w:line="360" w:lineRule="auto"/>
        <w:rPr>
          <w:rFonts w:ascii="Segoe UI" w:hAnsi="Segoe UI" w:cs="Segoe UI"/>
          <w:sz w:val="18"/>
          <w:szCs w:val="18"/>
        </w:rPr>
      </w:pPr>
      <w:r>
        <w:rPr>
          <w:rStyle w:val="normaltextrun"/>
          <w:rFonts w:cs="Arial"/>
          <w:bCs/>
        </w:rPr>
        <w:t>Time Commitment</w:t>
      </w:r>
    </w:p>
    <w:p w14:paraId="07388184" w14:textId="77777777" w:rsidR="00E42B45" w:rsidRDefault="00E42B45" w:rsidP="005A7260">
      <w:pPr>
        <w:pStyle w:val="paragraph"/>
        <w:spacing w:before="240" w:beforeAutospacing="0" w:after="240" w:afterAutospacing="0" w:line="360" w:lineRule="auto"/>
        <w:textAlignment w:val="baseline"/>
        <w:rPr>
          <w:rStyle w:val="normaltextrun"/>
          <w:rFonts w:ascii="Arial" w:hAnsi="Arial" w:cs="Arial"/>
        </w:rPr>
      </w:pPr>
      <w:r>
        <w:rPr>
          <w:rStyle w:val="normaltextrun"/>
          <w:rFonts w:ascii="Arial" w:hAnsi="Arial" w:cs="Arial"/>
        </w:rPr>
        <w:t xml:space="preserve">Non-executive board members are expected to attend the quarterly meetings of the Advisory Board and quarterly meetings of the Audit and Risk Committee or the Policy and Cases Committee. There may be additional ad-hoc meetings. </w:t>
      </w:r>
    </w:p>
    <w:p w14:paraId="52646B71" w14:textId="1AF36A0F" w:rsidR="00E42B45" w:rsidRDefault="00E42B45"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As an Advisory Board member, the minimum time expectation will be four days per annum. This will increase to approximately eight to ten days per annum for membership of the Audit Committee or Policy and Cases Committee.</w:t>
      </w:r>
    </w:p>
    <w:p w14:paraId="717AB06E" w14:textId="77777777" w:rsidR="00E42B45" w:rsidRDefault="00E42B45"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Meetings take place both virtually over Microsoft Teams and in person at the AiB office in Kilwinning, North Ayrshire. On occasion alternative Scottish Government offices may be used.</w:t>
      </w:r>
    </w:p>
    <w:p w14:paraId="0ACF58C3" w14:textId="77777777" w:rsidR="00E42B45" w:rsidRDefault="21C82C1F" w:rsidP="005A7260">
      <w:pPr>
        <w:pStyle w:val="Heading3"/>
        <w:spacing w:before="240" w:after="240" w:line="360" w:lineRule="auto"/>
        <w:rPr>
          <w:rStyle w:val="eop"/>
          <w:rFonts w:cs="Arial"/>
        </w:rPr>
      </w:pPr>
      <w:r w:rsidRPr="0B1EA170">
        <w:rPr>
          <w:rStyle w:val="normaltextrun"/>
          <w:rFonts w:cs="Arial"/>
        </w:rPr>
        <w:t>Remuneration</w:t>
      </w:r>
    </w:p>
    <w:p w14:paraId="607A90D9" w14:textId="7E8795EF" w:rsidR="009B7CD9" w:rsidRDefault="00E42B45" w:rsidP="005A7260">
      <w:pPr>
        <w:pStyle w:val="paragraph"/>
        <w:spacing w:before="240" w:beforeAutospacing="0" w:after="240" w:afterAutospacing="0" w:line="360" w:lineRule="auto"/>
        <w:textAlignment w:val="baseline"/>
        <w:rPr>
          <w:rStyle w:val="normaltextrun"/>
          <w:rFonts w:ascii="Arial" w:hAnsi="Arial" w:cs="Arial"/>
        </w:rPr>
      </w:pPr>
      <w:r>
        <w:rPr>
          <w:rStyle w:val="normaltextrun"/>
          <w:rFonts w:ascii="Arial" w:hAnsi="Arial" w:cs="Arial"/>
        </w:rPr>
        <w:t>Posts are non-salaried and non-pensionable, but currently attract a daily rate of £261 for attending meetings and related work. Reasonable travel and subsistence expenses and any dependent carer expenses will also be reimbursed.</w:t>
      </w:r>
    </w:p>
    <w:p w14:paraId="328FDC60" w14:textId="77777777" w:rsidR="009B7CD9" w:rsidRDefault="009B7CD9" w:rsidP="005A7260">
      <w:pPr>
        <w:tabs>
          <w:tab w:val="clear" w:pos="720"/>
          <w:tab w:val="clear" w:pos="1440"/>
          <w:tab w:val="clear" w:pos="2160"/>
          <w:tab w:val="clear" w:pos="2880"/>
          <w:tab w:val="clear" w:pos="4680"/>
          <w:tab w:val="clear" w:pos="5400"/>
          <w:tab w:val="clear" w:pos="9000"/>
        </w:tabs>
        <w:spacing w:before="240" w:after="240" w:line="360" w:lineRule="auto"/>
        <w:jc w:val="left"/>
        <w:rPr>
          <w:rStyle w:val="normaltextrun"/>
          <w:rFonts w:ascii="Arial" w:hAnsi="Arial" w:cs="Arial"/>
          <w:szCs w:val="24"/>
          <w:lang w:eastAsia="en-GB"/>
        </w:rPr>
      </w:pPr>
      <w:r>
        <w:rPr>
          <w:rStyle w:val="normaltextrun"/>
          <w:rFonts w:ascii="Arial" w:hAnsi="Arial" w:cs="Arial"/>
        </w:rPr>
        <w:br w:type="page"/>
      </w:r>
    </w:p>
    <w:p w14:paraId="10362522" w14:textId="083B35B6" w:rsidR="009B7CD9" w:rsidRDefault="009B7CD9" w:rsidP="005A7260">
      <w:pPr>
        <w:pStyle w:val="Heading2"/>
        <w:spacing w:before="240" w:after="240" w:line="360" w:lineRule="auto"/>
        <w:jc w:val="center"/>
        <w:rPr>
          <w:rStyle w:val="normaltextrun"/>
          <w:rFonts w:cs="Arial"/>
        </w:rPr>
      </w:pPr>
      <w:r w:rsidRPr="0006284E">
        <w:rPr>
          <w:rFonts w:cs="Arial"/>
          <w:b w:val="0"/>
          <w:noProof/>
          <w:sz w:val="48"/>
          <w:szCs w:val="48"/>
        </w:rPr>
        <w:lastRenderedPageBreak/>
        <w:drawing>
          <wp:inline distT="0" distB="0" distL="0" distR="0" wp14:anchorId="62884EF9" wp14:editId="354F3E96">
            <wp:extent cx="2170176" cy="1005840"/>
            <wp:effectExtent l="0" t="0" r="1905" b="3810"/>
            <wp:docPr id="341055952"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55952" name="Picture 1" descr="AiB logo"/>
                    <pic:cNvPicPr/>
                  </pic:nvPicPr>
                  <pic:blipFill>
                    <a:blip r:embed="rId8">
                      <a:extLst>
                        <a:ext uri="{28A0092B-C50C-407E-A947-70E740481C1C}">
                          <a14:useLocalDpi xmlns:a14="http://schemas.microsoft.com/office/drawing/2010/main" val="0"/>
                        </a:ext>
                      </a:extLst>
                    </a:blip>
                    <a:stretch>
                      <a:fillRect/>
                    </a:stretch>
                  </pic:blipFill>
                  <pic:spPr>
                    <a:xfrm>
                      <a:off x="0" y="0"/>
                      <a:ext cx="2170176" cy="1005840"/>
                    </a:xfrm>
                    <a:prstGeom prst="rect">
                      <a:avLst/>
                    </a:prstGeom>
                  </pic:spPr>
                </pic:pic>
              </a:graphicData>
            </a:graphic>
          </wp:inline>
        </w:drawing>
      </w:r>
    </w:p>
    <w:p w14:paraId="0EBC8B91" w14:textId="4BD3C4EE" w:rsidR="009B7CD9" w:rsidRPr="0006284E" w:rsidRDefault="481C5618" w:rsidP="005A7260">
      <w:pPr>
        <w:pStyle w:val="Heading2"/>
        <w:spacing w:before="240" w:after="240" w:line="360" w:lineRule="auto"/>
      </w:pPr>
      <w:r w:rsidRPr="455B1127">
        <w:rPr>
          <w:rStyle w:val="normaltextrun"/>
          <w:rFonts w:cs="Arial"/>
        </w:rPr>
        <w:t xml:space="preserve">The </w:t>
      </w:r>
      <w:r w:rsidR="6C583E04" w:rsidRPr="455B1127">
        <w:rPr>
          <w:rStyle w:val="normaltextrun"/>
          <w:rFonts w:cs="Arial"/>
        </w:rPr>
        <w:t>r</w:t>
      </w:r>
      <w:r w:rsidRPr="455B1127">
        <w:rPr>
          <w:rStyle w:val="normaltextrun"/>
          <w:rFonts w:cs="Arial"/>
        </w:rPr>
        <w:t>ole of the board member</w:t>
      </w:r>
    </w:p>
    <w:p w14:paraId="7C853F6E" w14:textId="77777777" w:rsidR="009B7CD9" w:rsidRDefault="009B7CD9" w:rsidP="005A7260">
      <w:pPr>
        <w:pStyle w:val="Heading3"/>
        <w:spacing w:before="240" w:after="240" w:line="360" w:lineRule="auto"/>
        <w:rPr>
          <w:rStyle w:val="eop"/>
          <w:rFonts w:cs="Arial"/>
        </w:rPr>
      </w:pPr>
      <w:r>
        <w:rPr>
          <w:rStyle w:val="normaltextrun"/>
          <w:rFonts w:cs="Arial"/>
          <w:bCs/>
        </w:rPr>
        <w:t>General Duties – Advisory Board</w:t>
      </w:r>
    </w:p>
    <w:p w14:paraId="1EDF6815"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 xml:space="preserve">Non-executive board members are members of </w:t>
      </w:r>
      <w:proofErr w:type="spellStart"/>
      <w:r>
        <w:rPr>
          <w:rStyle w:val="normaltextrun"/>
          <w:rFonts w:ascii="Arial" w:hAnsi="Arial" w:cs="Arial"/>
        </w:rPr>
        <w:t>AiB’s</w:t>
      </w:r>
      <w:proofErr w:type="spellEnd"/>
      <w:r>
        <w:rPr>
          <w:rStyle w:val="normaltextrun"/>
          <w:rFonts w:ascii="Arial" w:hAnsi="Arial" w:cs="Arial"/>
        </w:rPr>
        <w:t xml:space="preserve"> Advisory Board and play a key role in:</w:t>
      </w:r>
    </w:p>
    <w:p w14:paraId="7BA8B0B0"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helping to shape the organisation’s strategic vision</w:t>
      </w:r>
    </w:p>
    <w:p w14:paraId="118F3F95"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contributing to and participating in the effective running of the Advisory Board</w:t>
      </w:r>
    </w:p>
    <w:p w14:paraId="3F87037B"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 xml:space="preserve">using external experience to provide constructive and effective challenge in </w:t>
      </w:r>
      <w:r>
        <w:rPr>
          <w:rStyle w:val="tabchar"/>
          <w:rFonts w:ascii="Calibri" w:hAnsi="Calibri" w:cs="Calibri"/>
        </w:rPr>
        <w:tab/>
      </w:r>
      <w:r>
        <w:rPr>
          <w:rStyle w:val="normaltextrun"/>
          <w:rFonts w:ascii="Arial" w:hAnsi="Arial" w:cs="Arial"/>
        </w:rPr>
        <w:t>Advisory Board discussions and decision-making</w:t>
      </w:r>
    </w:p>
    <w:p w14:paraId="399D630C"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 xml:space="preserve">providing independent advice on corporate level management issues and </w:t>
      </w:r>
      <w:r>
        <w:rPr>
          <w:rStyle w:val="tabchar"/>
          <w:rFonts w:ascii="Calibri" w:hAnsi="Calibri" w:cs="Calibri"/>
        </w:rPr>
        <w:tab/>
      </w:r>
      <w:r>
        <w:rPr>
          <w:rStyle w:val="tabchar"/>
          <w:rFonts w:ascii="Calibri" w:hAnsi="Calibri" w:cs="Calibri"/>
        </w:rPr>
        <w:tab/>
      </w:r>
      <w:r>
        <w:rPr>
          <w:rStyle w:val="normaltextrun"/>
          <w:rFonts w:ascii="Arial" w:hAnsi="Arial" w:cs="Arial"/>
        </w:rPr>
        <w:t>proposed solutions</w:t>
      </w:r>
    </w:p>
    <w:p w14:paraId="65ED8345"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 xml:space="preserve">supporting the promotion of </w:t>
      </w:r>
      <w:proofErr w:type="spellStart"/>
      <w:r>
        <w:rPr>
          <w:rStyle w:val="normaltextrun"/>
          <w:rFonts w:ascii="Arial" w:hAnsi="Arial" w:cs="Arial"/>
        </w:rPr>
        <w:t>AiB’s</w:t>
      </w:r>
      <w:proofErr w:type="spellEnd"/>
      <w:r>
        <w:rPr>
          <w:rStyle w:val="normaltextrun"/>
          <w:rFonts w:ascii="Arial" w:hAnsi="Arial" w:cs="Arial"/>
        </w:rPr>
        <w:t xml:space="preserve"> reputation with our key stakeholders and </w:t>
      </w:r>
      <w:r>
        <w:rPr>
          <w:rStyle w:val="tabchar"/>
          <w:rFonts w:ascii="Calibri" w:hAnsi="Calibri" w:cs="Calibri"/>
        </w:rPr>
        <w:tab/>
      </w:r>
      <w:r>
        <w:rPr>
          <w:rStyle w:val="normaltextrun"/>
          <w:rFonts w:ascii="Arial" w:hAnsi="Arial" w:cs="Arial"/>
        </w:rPr>
        <w:t>customers</w:t>
      </w:r>
    </w:p>
    <w:p w14:paraId="44CB2903" w14:textId="5FBEB6AE" w:rsidR="005A7260" w:rsidRDefault="009B7CD9" w:rsidP="005A7260">
      <w:pPr>
        <w:pStyle w:val="paragraph"/>
        <w:spacing w:before="240" w:beforeAutospacing="0" w:after="240" w:afterAutospacing="0" w:line="360" w:lineRule="auto"/>
        <w:textAlignment w:val="baseline"/>
        <w:rPr>
          <w:rStyle w:val="normaltextrun"/>
          <w:rFonts w:cs="Arial"/>
          <w:bCs/>
        </w:rPr>
      </w:pPr>
      <w:r>
        <w:rPr>
          <w:rStyle w:val="normaltextrun"/>
          <w:rFonts w:ascii="Arial" w:hAnsi="Arial" w:cs="Arial"/>
        </w:rPr>
        <w:t>As an executive agency of the Scottish Government, non-executive board members are appointed on merit by the Chief Executive and are not ministerial public appointments.</w:t>
      </w:r>
      <w:r w:rsidR="005A7260">
        <w:rPr>
          <w:rStyle w:val="normaltextrun"/>
          <w:rFonts w:ascii="Arial" w:hAnsi="Arial" w:cs="Arial"/>
        </w:rPr>
        <w:t xml:space="preserve"> </w:t>
      </w:r>
    </w:p>
    <w:p w14:paraId="7685BF70" w14:textId="18991BC6" w:rsidR="009B7CD9" w:rsidRDefault="009B7CD9" w:rsidP="005A7260">
      <w:pPr>
        <w:pStyle w:val="Heading3"/>
        <w:spacing w:before="240" w:after="240" w:line="360" w:lineRule="auto"/>
        <w:rPr>
          <w:rFonts w:ascii="Segoe UI" w:hAnsi="Segoe UI" w:cs="Segoe UI"/>
          <w:sz w:val="18"/>
          <w:szCs w:val="18"/>
        </w:rPr>
      </w:pPr>
      <w:r>
        <w:rPr>
          <w:rStyle w:val="normaltextrun"/>
          <w:rFonts w:cs="Arial"/>
          <w:bCs/>
        </w:rPr>
        <w:t>General Duties – Audit Committee</w:t>
      </w:r>
    </w:p>
    <w:p w14:paraId="30920935" w14:textId="77777777" w:rsidR="00557A1C" w:rsidRDefault="481C5618" w:rsidP="455B1127">
      <w:pPr>
        <w:pStyle w:val="paragraph"/>
        <w:spacing w:before="240" w:beforeAutospacing="0" w:after="240" w:afterAutospacing="0" w:line="360" w:lineRule="auto"/>
        <w:textAlignment w:val="baseline"/>
        <w:rPr>
          <w:rStyle w:val="normaltextrun"/>
          <w:rFonts w:ascii="Arial" w:hAnsi="Arial" w:cs="Arial"/>
        </w:rPr>
      </w:pPr>
      <w:proofErr w:type="spellStart"/>
      <w:r w:rsidRPr="455B1127">
        <w:rPr>
          <w:rStyle w:val="normaltextrun"/>
          <w:rFonts w:ascii="Arial" w:hAnsi="Arial" w:cs="Arial"/>
        </w:rPr>
        <w:t>AiB’s</w:t>
      </w:r>
      <w:proofErr w:type="spellEnd"/>
      <w:r w:rsidRPr="455B1127">
        <w:rPr>
          <w:rStyle w:val="normaltextrun"/>
          <w:rFonts w:ascii="Arial" w:hAnsi="Arial" w:cs="Arial"/>
        </w:rPr>
        <w:t xml:space="preserve"> Audit Committee is designed to support, through a process of constructive challenge and review, the Chief Executive, in their capacity as Accountable Officer (AO), particularly in relation to their responsibilities for issues of risk, control and governance. This includes reviewing the reliability, integrity and comprehensiveness of assurances in meeting the AO’s assurance needs.</w:t>
      </w:r>
      <w:r w:rsidR="6A15C92F" w:rsidRPr="455B1127">
        <w:rPr>
          <w:rStyle w:val="normaltextrun"/>
          <w:rFonts w:ascii="Arial" w:hAnsi="Arial" w:cs="Arial"/>
        </w:rPr>
        <w:t xml:space="preserve"> </w:t>
      </w:r>
    </w:p>
    <w:p w14:paraId="2B3B83AB" w14:textId="05628B98" w:rsidR="009B7CD9" w:rsidRDefault="009B7CD9" w:rsidP="455B1127">
      <w:pPr>
        <w:pStyle w:val="paragraph"/>
        <w:spacing w:before="240" w:beforeAutospacing="0" w:after="240" w:afterAutospacing="0" w:line="360" w:lineRule="auto"/>
        <w:textAlignment w:val="baseline"/>
        <w:rPr>
          <w:rFonts w:ascii="Segoe UI" w:hAnsi="Segoe UI" w:cs="Segoe UI"/>
          <w:sz w:val="18"/>
          <w:szCs w:val="18"/>
        </w:rPr>
      </w:pPr>
      <w:r w:rsidRPr="455B1127">
        <w:rPr>
          <w:rStyle w:val="normaltextrun"/>
          <w:rFonts w:ascii="Arial" w:hAnsi="Arial" w:cs="Arial"/>
        </w:rPr>
        <w:t>The Audit Committee will advise the AO on:</w:t>
      </w:r>
    </w:p>
    <w:p w14:paraId="2536FCA8"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the strategic processes for risk, control and governance</w:t>
      </w:r>
    </w:p>
    <w:p w14:paraId="49878216" w14:textId="77777777" w:rsidR="009B7CD9" w:rsidRDefault="009B7CD9" w:rsidP="005A7260">
      <w:pPr>
        <w:pStyle w:val="paragraph"/>
        <w:spacing w:before="240" w:beforeAutospacing="0" w:after="240" w:afterAutospacing="0" w:line="360" w:lineRule="auto"/>
        <w:ind w:left="720" w:hanging="720"/>
        <w:textAlignment w:val="baseline"/>
        <w:rPr>
          <w:rFonts w:ascii="Segoe UI" w:hAnsi="Segoe UI" w:cs="Segoe UI"/>
          <w:sz w:val="18"/>
          <w:szCs w:val="18"/>
        </w:rPr>
      </w:pPr>
      <w:r>
        <w:rPr>
          <w:rStyle w:val="normaltextrun"/>
          <w:rFonts w:ascii="Arial" w:hAnsi="Arial" w:cs="Arial"/>
        </w:rPr>
        <w:lastRenderedPageBreak/>
        <w:t>•</w:t>
      </w:r>
      <w:r>
        <w:rPr>
          <w:rStyle w:val="tabchar"/>
          <w:rFonts w:ascii="Calibri" w:hAnsi="Calibri" w:cs="Calibri"/>
        </w:rPr>
        <w:tab/>
      </w:r>
      <w:r>
        <w:rPr>
          <w:rStyle w:val="normaltextrun"/>
          <w:rFonts w:ascii="Arial" w:hAnsi="Arial" w:cs="Arial"/>
        </w:rPr>
        <w:t>the processes and procedures for ensuring that material business risks are properly identified and managed and that appropriate systems of monitoring and control are in place</w:t>
      </w:r>
    </w:p>
    <w:p w14:paraId="6E9663A6" w14:textId="77777777" w:rsidR="009B7CD9" w:rsidRDefault="009B7CD9" w:rsidP="005A7260">
      <w:pPr>
        <w:pStyle w:val="paragraph"/>
        <w:spacing w:before="240" w:beforeAutospacing="0" w:after="240" w:afterAutospacing="0" w:line="360" w:lineRule="auto"/>
        <w:ind w:left="720" w:hanging="720"/>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material breaches of risk limits whether caused by control weakness or breakdown, dishonesty, fraud or negligence, ensuring that management action in response is commensurate to the breach reported</w:t>
      </w:r>
    </w:p>
    <w:p w14:paraId="1A79D975"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the planned activity and results of both internal and external audit</w:t>
      </w:r>
    </w:p>
    <w:p w14:paraId="4F98249C" w14:textId="77777777" w:rsidR="009B7CD9" w:rsidRDefault="009B7CD9" w:rsidP="005A7260">
      <w:pPr>
        <w:pStyle w:val="paragraph"/>
        <w:spacing w:before="240" w:beforeAutospacing="0" w:after="240" w:afterAutospacing="0" w:line="360" w:lineRule="auto"/>
        <w:ind w:left="720" w:hanging="720"/>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the adequacy of management response to relevant issues identified by audit activity or by Parliamentary Committees</w:t>
      </w:r>
    </w:p>
    <w:p w14:paraId="0718904E" w14:textId="4CF73CE6" w:rsidR="009B7CD9" w:rsidRDefault="009B7CD9" w:rsidP="005A7260">
      <w:pPr>
        <w:pStyle w:val="paragraph"/>
        <w:spacing w:before="240" w:beforeAutospacing="0" w:after="240" w:afterAutospacing="0" w:line="360" w:lineRule="auto"/>
        <w:ind w:left="720" w:hanging="720"/>
        <w:textAlignment w:val="baseline"/>
        <w:rPr>
          <w:rStyle w:val="normaltextrun"/>
          <w:rFonts w:cs="Arial"/>
          <w:b/>
          <w:bCs/>
        </w:rPr>
      </w:pPr>
      <w:r>
        <w:rPr>
          <w:rStyle w:val="normaltextrun"/>
          <w:rFonts w:ascii="Arial" w:hAnsi="Arial" w:cs="Arial"/>
        </w:rPr>
        <w:t>•</w:t>
      </w:r>
      <w:r>
        <w:rPr>
          <w:rStyle w:val="tabchar"/>
          <w:rFonts w:ascii="Calibri" w:hAnsi="Calibri" w:cs="Calibri"/>
        </w:rPr>
        <w:tab/>
      </w:r>
      <w:r>
        <w:rPr>
          <w:rStyle w:val="normaltextrun"/>
          <w:rFonts w:ascii="Arial" w:hAnsi="Arial" w:cs="Arial"/>
        </w:rPr>
        <w:t>assurances relating to corporate governance requirements e.g. certificates of assurance and issues relating to the AO’s signing of a governance statement the adequacy of fraud and whistle blowing procedures and the key issues emerging on a regular basis</w:t>
      </w:r>
      <w:r w:rsidR="005A7260">
        <w:rPr>
          <w:rStyle w:val="normaltextrun"/>
          <w:rFonts w:ascii="Arial" w:hAnsi="Arial" w:cs="Arial"/>
        </w:rPr>
        <w:t xml:space="preserve"> </w:t>
      </w:r>
    </w:p>
    <w:p w14:paraId="5464BDA0" w14:textId="7FFA644D" w:rsidR="009B7CD9" w:rsidRDefault="009B7CD9" w:rsidP="005A7260">
      <w:pPr>
        <w:pStyle w:val="Heading3"/>
        <w:spacing w:before="240" w:after="240" w:line="360" w:lineRule="auto"/>
        <w:rPr>
          <w:rFonts w:ascii="Segoe UI" w:hAnsi="Segoe UI" w:cs="Segoe UI"/>
          <w:sz w:val="18"/>
          <w:szCs w:val="18"/>
        </w:rPr>
      </w:pPr>
      <w:r>
        <w:rPr>
          <w:rStyle w:val="normaltextrun"/>
          <w:rFonts w:cs="Arial"/>
          <w:bCs/>
        </w:rPr>
        <w:t>General Duties – Policy and Cases Committee</w:t>
      </w:r>
    </w:p>
    <w:p w14:paraId="37CB934B"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proofErr w:type="spellStart"/>
      <w:r>
        <w:rPr>
          <w:rStyle w:val="normaltextrun"/>
          <w:rFonts w:ascii="Arial" w:hAnsi="Arial" w:cs="Arial"/>
        </w:rPr>
        <w:t>AiB’s</w:t>
      </w:r>
      <w:proofErr w:type="spellEnd"/>
      <w:r>
        <w:rPr>
          <w:rStyle w:val="normaltextrun"/>
          <w:rFonts w:ascii="Arial" w:hAnsi="Arial" w:cs="Arial"/>
        </w:rPr>
        <w:t xml:space="preserve"> Policy and Cases Committee provides the Chief Executive with advice on challenging cases and policy issues which may:</w:t>
      </w:r>
    </w:p>
    <w:p w14:paraId="17DE7ADE"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be complex</w:t>
      </w:r>
    </w:p>
    <w:p w14:paraId="4D1C4939"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be potentially high profile</w:t>
      </w:r>
    </w:p>
    <w:p w14:paraId="513200D9" w14:textId="77777777" w:rsidR="009B7CD9" w:rsidRDefault="009B7CD9" w:rsidP="005A7260">
      <w:pPr>
        <w:pStyle w:val="paragraph"/>
        <w:spacing w:before="240" w:beforeAutospacing="0" w:after="240" w:afterAutospacing="0" w:line="360" w:lineRule="auto"/>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have a reputational risk</w:t>
      </w:r>
    </w:p>
    <w:p w14:paraId="06576951" w14:textId="77777777" w:rsidR="009B7CD9" w:rsidRDefault="009B7CD9" w:rsidP="005A7260">
      <w:pPr>
        <w:pStyle w:val="paragraph"/>
        <w:spacing w:before="240" w:beforeAutospacing="0" w:after="240" w:afterAutospacing="0" w:line="360" w:lineRule="auto"/>
        <w:ind w:left="720" w:hanging="720"/>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require consideration of a change to legislation</w:t>
      </w:r>
    </w:p>
    <w:p w14:paraId="626FEBCA" w14:textId="77777777" w:rsidR="009B7CD9" w:rsidRDefault="481C5618" w:rsidP="00557A1C">
      <w:pPr>
        <w:pStyle w:val="paragraph"/>
        <w:spacing w:before="240" w:beforeAutospacing="0" w:after="240" w:afterAutospacing="0" w:line="360" w:lineRule="auto"/>
        <w:ind w:left="720" w:hanging="720"/>
        <w:textAlignment w:val="baseline"/>
        <w:rPr>
          <w:rFonts w:ascii="Segoe UI" w:hAnsi="Segoe UI" w:cs="Segoe UI"/>
          <w:sz w:val="18"/>
          <w:szCs w:val="18"/>
        </w:rPr>
      </w:pPr>
      <w:r w:rsidRPr="0B1EA170">
        <w:rPr>
          <w:rStyle w:val="normaltextrun"/>
          <w:rFonts w:ascii="Arial" w:hAnsi="Arial" w:cs="Arial"/>
        </w:rPr>
        <w:t>•</w:t>
      </w:r>
      <w:r w:rsidR="009B7CD9">
        <w:tab/>
      </w:r>
      <w:r w:rsidRPr="0B1EA170">
        <w:rPr>
          <w:rStyle w:val="normaltextrun"/>
          <w:rFonts w:ascii="Arial" w:hAnsi="Arial" w:cs="Arial"/>
        </w:rPr>
        <w:t>have a public interest where pursuit would be at public expense not</w:t>
      </w:r>
      <w:r w:rsidR="009B7CD9">
        <w:tab/>
      </w:r>
      <w:r w:rsidRPr="0B1EA170">
        <w:rPr>
          <w:rStyle w:val="normaltextrun"/>
          <w:rFonts w:ascii="Arial" w:hAnsi="Arial" w:cs="Arial"/>
        </w:rPr>
        <w:t>recoverable from anticipated case income and/or set a case precedent</w:t>
      </w:r>
    </w:p>
    <w:p w14:paraId="7AB59A64" w14:textId="322F36A2" w:rsidR="005A7260" w:rsidRDefault="009B7CD9" w:rsidP="005A7260">
      <w:pPr>
        <w:pStyle w:val="paragraph"/>
        <w:spacing w:before="240" w:beforeAutospacing="0" w:after="240" w:afterAutospacing="0" w:line="360" w:lineRule="auto"/>
        <w:textAlignment w:val="baseline"/>
        <w:rPr>
          <w:rStyle w:val="normaltextrun"/>
          <w:rFonts w:ascii="Arial" w:hAnsi="Arial" w:cs="Arial"/>
        </w:rPr>
      </w:pPr>
      <w:r>
        <w:rPr>
          <w:rStyle w:val="normaltextrun"/>
          <w:rFonts w:ascii="Arial" w:hAnsi="Arial" w:cs="Arial"/>
        </w:rPr>
        <w:t xml:space="preserve">Advice given by the Committee does not constitute legal advice. If legal advice is required, it will be provided through the Scottish Government Legal Department or one of </w:t>
      </w:r>
      <w:proofErr w:type="spellStart"/>
      <w:r>
        <w:rPr>
          <w:rStyle w:val="normaltextrun"/>
          <w:rFonts w:ascii="Arial" w:hAnsi="Arial" w:cs="Arial"/>
        </w:rPr>
        <w:t>AiB’s</w:t>
      </w:r>
      <w:proofErr w:type="spellEnd"/>
      <w:r>
        <w:rPr>
          <w:rStyle w:val="normaltextrun"/>
          <w:rFonts w:ascii="Arial" w:hAnsi="Arial" w:cs="Arial"/>
        </w:rPr>
        <w:t xml:space="preserve"> legal agents.</w:t>
      </w:r>
    </w:p>
    <w:p w14:paraId="584FA66A" w14:textId="77777777" w:rsidR="005A7260" w:rsidRDefault="005A7260" w:rsidP="005A7260">
      <w:pPr>
        <w:tabs>
          <w:tab w:val="clear" w:pos="720"/>
          <w:tab w:val="clear" w:pos="1440"/>
          <w:tab w:val="clear" w:pos="2160"/>
          <w:tab w:val="clear" w:pos="2880"/>
          <w:tab w:val="clear" w:pos="4680"/>
          <w:tab w:val="clear" w:pos="5400"/>
          <w:tab w:val="clear" w:pos="9000"/>
        </w:tabs>
        <w:spacing w:before="240" w:after="240" w:line="360" w:lineRule="auto"/>
        <w:jc w:val="left"/>
        <w:rPr>
          <w:rStyle w:val="normaltextrun"/>
          <w:rFonts w:ascii="Arial" w:hAnsi="Arial" w:cs="Arial"/>
          <w:szCs w:val="24"/>
          <w:lang w:eastAsia="en-GB"/>
        </w:rPr>
      </w:pPr>
      <w:r>
        <w:rPr>
          <w:rStyle w:val="normaltextrun"/>
          <w:rFonts w:ascii="Arial" w:hAnsi="Arial" w:cs="Arial"/>
        </w:rPr>
        <w:br w:type="page"/>
      </w:r>
    </w:p>
    <w:p w14:paraId="2CA47A6F" w14:textId="47C31B5E" w:rsidR="005A7260" w:rsidRDefault="005A7260" w:rsidP="005A7260">
      <w:pPr>
        <w:pStyle w:val="Heading2"/>
        <w:spacing w:before="120" w:after="120" w:line="360" w:lineRule="auto"/>
        <w:jc w:val="center"/>
        <w:rPr>
          <w:rStyle w:val="normaltextrun"/>
          <w:rFonts w:cs="Arial"/>
        </w:rPr>
      </w:pPr>
      <w:r w:rsidRPr="0006284E">
        <w:rPr>
          <w:rFonts w:cs="Arial"/>
          <w:b w:val="0"/>
          <w:noProof/>
          <w:sz w:val="48"/>
          <w:szCs w:val="48"/>
        </w:rPr>
        <w:lastRenderedPageBreak/>
        <w:drawing>
          <wp:inline distT="0" distB="0" distL="0" distR="0" wp14:anchorId="22FDB77F" wp14:editId="0C7B97B5">
            <wp:extent cx="2170176" cy="1005840"/>
            <wp:effectExtent l="0" t="0" r="1905" b="3810"/>
            <wp:docPr id="1412384100"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84100" name="Picture 1" descr="AiB logo"/>
                    <pic:cNvPicPr/>
                  </pic:nvPicPr>
                  <pic:blipFill>
                    <a:blip r:embed="rId8">
                      <a:extLst>
                        <a:ext uri="{28A0092B-C50C-407E-A947-70E740481C1C}">
                          <a14:useLocalDpi xmlns:a14="http://schemas.microsoft.com/office/drawing/2010/main" val="0"/>
                        </a:ext>
                      </a:extLst>
                    </a:blip>
                    <a:stretch>
                      <a:fillRect/>
                    </a:stretch>
                  </pic:blipFill>
                  <pic:spPr>
                    <a:xfrm>
                      <a:off x="0" y="0"/>
                      <a:ext cx="2170176" cy="1005840"/>
                    </a:xfrm>
                    <a:prstGeom prst="rect">
                      <a:avLst/>
                    </a:prstGeom>
                  </pic:spPr>
                </pic:pic>
              </a:graphicData>
            </a:graphic>
          </wp:inline>
        </w:drawing>
      </w:r>
    </w:p>
    <w:p w14:paraId="7C80E9A2" w14:textId="24034616" w:rsidR="009B7CD9" w:rsidRPr="002C4AD4" w:rsidRDefault="002C4AD4" w:rsidP="00721346">
      <w:pPr>
        <w:pStyle w:val="Heading2"/>
        <w:spacing w:before="120" w:after="120" w:line="360" w:lineRule="auto"/>
        <w:jc w:val="left"/>
        <w:rPr>
          <w:rStyle w:val="normaltextrun"/>
          <w:rFonts w:cs="Arial"/>
        </w:rPr>
      </w:pPr>
      <w:r w:rsidRPr="002C4AD4">
        <w:rPr>
          <w:rStyle w:val="normaltextrun"/>
          <w:rFonts w:cs="Arial"/>
        </w:rPr>
        <w:t>Person Specification</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4643"/>
        <w:gridCol w:w="4271"/>
      </w:tblGrid>
      <w:tr w:rsidR="005A7260" w:rsidRPr="005A7260" w14:paraId="53C5A839" w14:textId="77777777" w:rsidTr="00557A1C">
        <w:trPr>
          <w:trHeight w:val="470"/>
        </w:trPr>
        <w:tc>
          <w:tcPr>
            <w:tcW w:w="1519" w:type="dxa"/>
            <w:tcBorders>
              <w:top w:val="nil"/>
              <w:left w:val="nil"/>
              <w:bottom w:val="single" w:sz="4" w:space="0" w:color="auto"/>
            </w:tcBorders>
            <w:shd w:val="clear" w:color="auto" w:fill="auto"/>
          </w:tcPr>
          <w:p w14:paraId="41955577" w14:textId="77777777" w:rsidR="005A7260" w:rsidRPr="005A7260" w:rsidRDefault="005A7260" w:rsidP="00721346">
            <w:pPr>
              <w:spacing w:before="120" w:after="120" w:line="360" w:lineRule="auto"/>
              <w:rPr>
                <w:rFonts w:ascii="Arial" w:hAnsi="Arial" w:cs="Arial"/>
                <w:lang w:eastAsia="en-GB"/>
              </w:rPr>
            </w:pPr>
          </w:p>
        </w:tc>
        <w:tc>
          <w:tcPr>
            <w:tcW w:w="4643" w:type="dxa"/>
            <w:shd w:val="clear" w:color="auto" w:fill="E7E6E6" w:themeFill="background2"/>
            <w:vAlign w:val="center"/>
          </w:tcPr>
          <w:p w14:paraId="18FC8B20" w14:textId="77777777" w:rsidR="005A7260" w:rsidRPr="005A7260" w:rsidRDefault="005A7260" w:rsidP="00721346">
            <w:pPr>
              <w:spacing w:before="120" w:after="120" w:line="360" w:lineRule="auto"/>
              <w:jc w:val="left"/>
              <w:rPr>
                <w:rFonts w:ascii="Arial" w:hAnsi="Arial" w:cs="Arial"/>
                <w:b/>
                <w:sz w:val="16"/>
                <w:szCs w:val="16"/>
                <w:lang w:eastAsia="en-GB"/>
              </w:rPr>
            </w:pPr>
            <w:r w:rsidRPr="005A7260">
              <w:rPr>
                <w:rFonts w:ascii="Arial" w:hAnsi="Arial" w:cs="Arial"/>
                <w:b/>
                <w:lang w:eastAsia="en-GB"/>
              </w:rPr>
              <w:t>Essential</w:t>
            </w:r>
          </w:p>
        </w:tc>
        <w:tc>
          <w:tcPr>
            <w:tcW w:w="4271" w:type="dxa"/>
            <w:shd w:val="clear" w:color="auto" w:fill="E7E6E6" w:themeFill="background2"/>
            <w:vAlign w:val="center"/>
          </w:tcPr>
          <w:p w14:paraId="2B721CBF" w14:textId="77777777" w:rsidR="005A7260" w:rsidRPr="005A7260" w:rsidRDefault="005A7260" w:rsidP="00721346">
            <w:pPr>
              <w:spacing w:before="120" w:after="120" w:line="360" w:lineRule="auto"/>
              <w:jc w:val="left"/>
              <w:rPr>
                <w:rFonts w:ascii="Arial" w:hAnsi="Arial" w:cs="Arial"/>
                <w:b/>
                <w:lang w:eastAsia="en-GB"/>
              </w:rPr>
            </w:pPr>
            <w:r w:rsidRPr="005A7260">
              <w:rPr>
                <w:rFonts w:ascii="Arial" w:hAnsi="Arial" w:cs="Arial"/>
                <w:b/>
                <w:lang w:eastAsia="en-GB"/>
              </w:rPr>
              <w:t>Desirable</w:t>
            </w:r>
          </w:p>
        </w:tc>
      </w:tr>
      <w:tr w:rsidR="005A7260" w:rsidRPr="005A7260" w14:paraId="7B22DD51" w14:textId="77777777" w:rsidTr="00557A1C">
        <w:tc>
          <w:tcPr>
            <w:tcW w:w="1519" w:type="dxa"/>
            <w:shd w:val="clear" w:color="auto" w:fill="E7E6E6" w:themeFill="background2"/>
          </w:tcPr>
          <w:p w14:paraId="60D36E91" w14:textId="77777777" w:rsidR="005A7260" w:rsidRPr="005A7260" w:rsidRDefault="005A7260" w:rsidP="00721346">
            <w:pPr>
              <w:spacing w:before="120" w:after="120" w:line="360" w:lineRule="auto"/>
              <w:rPr>
                <w:rFonts w:ascii="Arial" w:hAnsi="Arial" w:cs="Arial"/>
                <w:b/>
                <w:sz w:val="16"/>
                <w:szCs w:val="16"/>
                <w:lang w:eastAsia="en-GB"/>
              </w:rPr>
            </w:pPr>
          </w:p>
          <w:p w14:paraId="2A45A50B" w14:textId="77777777" w:rsidR="005A7260" w:rsidRPr="005A7260" w:rsidRDefault="005A7260" w:rsidP="00721346">
            <w:pPr>
              <w:spacing w:before="120" w:after="120" w:line="360" w:lineRule="auto"/>
              <w:rPr>
                <w:rFonts w:ascii="Arial" w:hAnsi="Arial" w:cs="Arial"/>
                <w:b/>
                <w:lang w:eastAsia="en-GB"/>
              </w:rPr>
            </w:pPr>
            <w:r w:rsidRPr="005A7260">
              <w:rPr>
                <w:rFonts w:ascii="Arial" w:hAnsi="Arial" w:cs="Arial"/>
                <w:b/>
                <w:lang w:eastAsia="en-GB"/>
              </w:rPr>
              <w:t xml:space="preserve">Experience </w:t>
            </w:r>
          </w:p>
          <w:p w14:paraId="4CD94DD8" w14:textId="77777777" w:rsidR="005A7260" w:rsidRPr="005A7260" w:rsidRDefault="005A7260" w:rsidP="00721346">
            <w:pPr>
              <w:spacing w:before="120" w:after="120" w:line="360" w:lineRule="auto"/>
              <w:rPr>
                <w:rFonts w:ascii="Arial" w:hAnsi="Arial" w:cs="Arial"/>
                <w:b/>
                <w:lang w:eastAsia="en-GB"/>
              </w:rPr>
            </w:pPr>
          </w:p>
        </w:tc>
        <w:tc>
          <w:tcPr>
            <w:tcW w:w="4643" w:type="dxa"/>
            <w:shd w:val="clear" w:color="auto" w:fill="auto"/>
          </w:tcPr>
          <w:p w14:paraId="17488F05" w14:textId="77777777" w:rsidR="00F41E27" w:rsidRPr="00F41E27" w:rsidRDefault="00F41E27" w:rsidP="00F41E27">
            <w:pPr>
              <w:tabs>
                <w:tab w:val="clear" w:pos="720"/>
                <w:tab w:val="clear" w:pos="1440"/>
                <w:tab w:val="clear" w:pos="2160"/>
                <w:tab w:val="clear" w:pos="2880"/>
                <w:tab w:val="clear" w:pos="4680"/>
                <w:tab w:val="clear" w:pos="5400"/>
                <w:tab w:val="clear" w:pos="9000"/>
              </w:tabs>
              <w:spacing w:line="360" w:lineRule="auto"/>
              <w:jc w:val="left"/>
              <w:rPr>
                <w:rFonts w:ascii="Arial" w:hAnsi="Arial" w:cs="Arial"/>
                <w:bCs/>
              </w:rPr>
            </w:pPr>
            <w:r w:rsidRPr="00F41E27">
              <w:rPr>
                <w:rFonts w:ascii="Arial" w:hAnsi="Arial" w:cs="Arial"/>
                <w:bCs/>
              </w:rPr>
              <w:t>Specialist knowledge and experience at a strategic level with a background in any of the following sectors:</w:t>
            </w:r>
          </w:p>
          <w:p w14:paraId="55A37F51" w14:textId="77777777" w:rsidR="00F41E27" w:rsidRPr="00F41E27" w:rsidRDefault="00F41E27" w:rsidP="00F41E27">
            <w:pPr>
              <w:pStyle w:val="ListParagraph"/>
              <w:numPr>
                <w:ilvl w:val="0"/>
                <w:numId w:val="17"/>
              </w:numPr>
              <w:tabs>
                <w:tab w:val="clear" w:pos="1440"/>
                <w:tab w:val="clear" w:pos="2160"/>
                <w:tab w:val="clear" w:pos="2880"/>
                <w:tab w:val="clear" w:pos="4680"/>
                <w:tab w:val="clear" w:pos="5400"/>
                <w:tab w:val="clear" w:pos="9000"/>
              </w:tabs>
              <w:spacing w:line="360" w:lineRule="auto"/>
              <w:jc w:val="left"/>
              <w:rPr>
                <w:rFonts w:ascii="Arial" w:hAnsi="Arial" w:cs="Arial"/>
                <w:bCs/>
              </w:rPr>
            </w:pPr>
            <w:r w:rsidRPr="00F41E27">
              <w:rPr>
                <w:rFonts w:ascii="Arial" w:hAnsi="Arial" w:cs="Arial"/>
                <w:bCs/>
              </w:rPr>
              <w:t>Creditor organisations engaging with individuals with problem debt – ideally with an in depth knowledge of Scottish insolvency legislation; or</w:t>
            </w:r>
          </w:p>
          <w:p w14:paraId="7C5831B8" w14:textId="77777777" w:rsidR="00F41E27" w:rsidRPr="00F41E27" w:rsidRDefault="00F41E27" w:rsidP="00F41E27">
            <w:pPr>
              <w:pStyle w:val="ListParagraph"/>
              <w:numPr>
                <w:ilvl w:val="0"/>
                <w:numId w:val="17"/>
              </w:numPr>
              <w:tabs>
                <w:tab w:val="clear" w:pos="1440"/>
                <w:tab w:val="clear" w:pos="2160"/>
                <w:tab w:val="clear" w:pos="2880"/>
                <w:tab w:val="clear" w:pos="4680"/>
                <w:tab w:val="clear" w:pos="5400"/>
                <w:tab w:val="clear" w:pos="9000"/>
              </w:tabs>
              <w:spacing w:line="360" w:lineRule="auto"/>
              <w:jc w:val="left"/>
              <w:rPr>
                <w:rFonts w:ascii="Arial" w:hAnsi="Arial" w:cs="Arial"/>
                <w:bCs/>
                <w:szCs w:val="24"/>
              </w:rPr>
            </w:pPr>
            <w:r w:rsidRPr="00F41E27">
              <w:rPr>
                <w:rFonts w:ascii="Arial" w:hAnsi="Arial" w:cs="Arial"/>
                <w:bCs/>
              </w:rPr>
              <w:t>Academic research into insolvency matters; or</w:t>
            </w:r>
          </w:p>
          <w:p w14:paraId="79106502" w14:textId="5E78643E" w:rsidR="005A7260" w:rsidRPr="005A7260" w:rsidRDefault="00F41E27" w:rsidP="00F41E27">
            <w:pPr>
              <w:numPr>
                <w:ilvl w:val="1"/>
                <w:numId w:val="17"/>
              </w:numPr>
              <w:tabs>
                <w:tab w:val="clear" w:pos="720"/>
                <w:tab w:val="clear" w:pos="1440"/>
              </w:tabs>
              <w:spacing w:before="120" w:after="120" w:line="360" w:lineRule="auto"/>
              <w:jc w:val="left"/>
              <w:rPr>
                <w:rFonts w:ascii="Arial" w:hAnsi="Arial" w:cs="Arial"/>
              </w:rPr>
            </w:pPr>
            <w:r w:rsidRPr="00F41E27">
              <w:rPr>
                <w:rFonts w:ascii="Arial" w:hAnsi="Arial" w:cs="Arial"/>
                <w:bCs/>
              </w:rPr>
              <w:t xml:space="preserve">Accounting and corporate governance with </w:t>
            </w:r>
            <w:proofErr w:type="spellStart"/>
            <w:r w:rsidRPr="00F41E27">
              <w:rPr>
                <w:rFonts w:ascii="Arial" w:hAnsi="Arial" w:cs="Arial"/>
                <w:bCs/>
              </w:rPr>
              <w:t>CCAB</w:t>
            </w:r>
            <w:proofErr w:type="spellEnd"/>
            <w:r w:rsidRPr="00F41E27">
              <w:rPr>
                <w:rFonts w:ascii="Arial" w:hAnsi="Arial" w:cs="Arial"/>
                <w:bCs/>
              </w:rPr>
              <w:t xml:space="preserve"> or equivalent qualification</w:t>
            </w:r>
          </w:p>
        </w:tc>
        <w:tc>
          <w:tcPr>
            <w:tcW w:w="4271" w:type="dxa"/>
            <w:shd w:val="clear" w:color="auto" w:fill="auto"/>
          </w:tcPr>
          <w:p w14:paraId="6CEE177F" w14:textId="77777777" w:rsidR="005A7260" w:rsidRPr="005A7260" w:rsidRDefault="005A7260" w:rsidP="00721346">
            <w:pPr>
              <w:tabs>
                <w:tab w:val="clear" w:pos="1440"/>
                <w:tab w:val="clear" w:pos="2160"/>
                <w:tab w:val="clear" w:pos="2880"/>
                <w:tab w:val="clear" w:pos="4680"/>
                <w:tab w:val="clear" w:pos="5400"/>
                <w:tab w:val="clear" w:pos="9000"/>
              </w:tabs>
              <w:spacing w:before="120" w:after="120" w:line="360" w:lineRule="auto"/>
              <w:ind w:left="360"/>
              <w:jc w:val="left"/>
              <w:rPr>
                <w:rFonts w:ascii="Arial" w:hAnsi="Arial" w:cs="Arial"/>
                <w:lang w:eastAsia="en-GB"/>
              </w:rPr>
            </w:pPr>
            <w:r w:rsidRPr="005A7260">
              <w:rPr>
                <w:rFonts w:ascii="Arial" w:hAnsi="Arial" w:cs="Arial"/>
                <w:lang w:eastAsia="en-GB"/>
              </w:rPr>
              <w:t>Stakeholder relationship management and corporate communications</w:t>
            </w:r>
          </w:p>
          <w:p w14:paraId="05085B07" w14:textId="77777777" w:rsidR="005A7260" w:rsidRPr="005A7260" w:rsidRDefault="005A7260" w:rsidP="00721346">
            <w:pPr>
              <w:tabs>
                <w:tab w:val="clear" w:pos="1440"/>
                <w:tab w:val="clear" w:pos="2160"/>
                <w:tab w:val="clear" w:pos="2880"/>
                <w:tab w:val="clear" w:pos="4680"/>
                <w:tab w:val="clear" w:pos="5400"/>
                <w:tab w:val="clear" w:pos="9000"/>
              </w:tabs>
              <w:spacing w:before="120" w:after="120" w:line="360" w:lineRule="auto"/>
              <w:ind w:left="360"/>
              <w:jc w:val="left"/>
              <w:rPr>
                <w:rFonts w:ascii="Arial" w:hAnsi="Arial" w:cs="Arial"/>
                <w:lang w:eastAsia="en-GB"/>
              </w:rPr>
            </w:pPr>
            <w:r w:rsidRPr="005A7260">
              <w:rPr>
                <w:rFonts w:ascii="Arial" w:hAnsi="Arial" w:cs="Arial"/>
                <w:lang w:eastAsia="en-GB"/>
              </w:rPr>
              <w:t>Previous or current experience in a non-executive role</w:t>
            </w:r>
          </w:p>
          <w:p w14:paraId="2C98C0A2" w14:textId="0F91B584" w:rsidR="005A7260" w:rsidRPr="005A7260" w:rsidRDefault="005A7260" w:rsidP="00721346">
            <w:pPr>
              <w:tabs>
                <w:tab w:val="clear" w:pos="1440"/>
                <w:tab w:val="clear" w:pos="2160"/>
                <w:tab w:val="clear" w:pos="2880"/>
                <w:tab w:val="clear" w:pos="4680"/>
                <w:tab w:val="clear" w:pos="5400"/>
                <w:tab w:val="clear" w:pos="9000"/>
              </w:tabs>
              <w:spacing w:before="120" w:after="120" w:line="360" w:lineRule="auto"/>
              <w:ind w:left="360"/>
              <w:jc w:val="left"/>
              <w:rPr>
                <w:rFonts w:ascii="Arial" w:hAnsi="Arial" w:cs="Arial"/>
                <w:lang w:eastAsia="en-GB"/>
              </w:rPr>
            </w:pPr>
          </w:p>
        </w:tc>
      </w:tr>
      <w:tr w:rsidR="005A7260" w:rsidRPr="005A7260" w14:paraId="7EB4C16D" w14:textId="77777777" w:rsidTr="00557A1C">
        <w:trPr>
          <w:trHeight w:val="2018"/>
        </w:trPr>
        <w:tc>
          <w:tcPr>
            <w:tcW w:w="1519" w:type="dxa"/>
            <w:shd w:val="clear" w:color="auto" w:fill="E7E6E6" w:themeFill="background2"/>
          </w:tcPr>
          <w:p w14:paraId="03915DCC" w14:textId="77777777" w:rsidR="005A7260" w:rsidRPr="005A7260" w:rsidRDefault="005A7260" w:rsidP="00721346">
            <w:pPr>
              <w:spacing w:before="120" w:after="120" w:line="360" w:lineRule="auto"/>
              <w:rPr>
                <w:rFonts w:ascii="Arial" w:hAnsi="Arial" w:cs="Arial"/>
                <w:b/>
                <w:sz w:val="16"/>
                <w:szCs w:val="16"/>
                <w:lang w:eastAsia="en-GB"/>
              </w:rPr>
            </w:pPr>
          </w:p>
          <w:p w14:paraId="7AC807D7" w14:textId="77777777" w:rsidR="005A7260" w:rsidRPr="005A7260" w:rsidRDefault="005A7260" w:rsidP="00721346">
            <w:pPr>
              <w:spacing w:before="120" w:after="120" w:line="360" w:lineRule="auto"/>
              <w:rPr>
                <w:rFonts w:ascii="Arial" w:hAnsi="Arial" w:cs="Arial"/>
                <w:b/>
                <w:lang w:eastAsia="en-GB"/>
              </w:rPr>
            </w:pPr>
            <w:r w:rsidRPr="005A7260">
              <w:rPr>
                <w:rFonts w:ascii="Arial" w:hAnsi="Arial" w:cs="Arial"/>
                <w:b/>
                <w:lang w:eastAsia="en-GB"/>
              </w:rPr>
              <w:t>Knowledge</w:t>
            </w:r>
          </w:p>
          <w:p w14:paraId="66E1ADCD" w14:textId="77777777" w:rsidR="005A7260" w:rsidRPr="005A7260" w:rsidRDefault="005A7260" w:rsidP="00721346">
            <w:pPr>
              <w:spacing w:before="120" w:after="120" w:line="360" w:lineRule="auto"/>
              <w:rPr>
                <w:rFonts w:ascii="Arial" w:hAnsi="Arial" w:cs="Arial"/>
                <w:b/>
                <w:lang w:eastAsia="en-GB"/>
              </w:rPr>
            </w:pPr>
          </w:p>
        </w:tc>
        <w:tc>
          <w:tcPr>
            <w:tcW w:w="4643" w:type="dxa"/>
            <w:shd w:val="clear" w:color="auto" w:fill="auto"/>
          </w:tcPr>
          <w:p w14:paraId="34BADA1A" w14:textId="05885F91" w:rsidR="005A7260" w:rsidRDefault="005A7260" w:rsidP="00721346">
            <w:pPr>
              <w:tabs>
                <w:tab w:val="clear" w:pos="1440"/>
                <w:tab w:val="clear" w:pos="2160"/>
                <w:tab w:val="clear" w:pos="2880"/>
                <w:tab w:val="clear" w:pos="4680"/>
                <w:tab w:val="clear" w:pos="5400"/>
                <w:tab w:val="clear" w:pos="9000"/>
              </w:tabs>
              <w:spacing w:before="120" w:after="120" w:line="360" w:lineRule="auto"/>
              <w:ind w:left="360"/>
              <w:jc w:val="left"/>
              <w:rPr>
                <w:rFonts w:ascii="Arial" w:hAnsi="Arial" w:cs="Arial"/>
                <w:lang w:eastAsia="en-GB"/>
              </w:rPr>
            </w:pPr>
            <w:r w:rsidRPr="005A7260">
              <w:rPr>
                <w:rFonts w:ascii="Arial" w:hAnsi="Arial" w:cs="Arial"/>
                <w:lang w:eastAsia="en-GB"/>
              </w:rPr>
              <w:t>Knowledge of business and strategic planning, corporate governance and accountability</w:t>
            </w:r>
          </w:p>
          <w:p w14:paraId="47318C0F" w14:textId="3F9E5756" w:rsidR="00023E40" w:rsidRPr="00023E40" w:rsidRDefault="00023E40" w:rsidP="00023E40">
            <w:pPr>
              <w:tabs>
                <w:tab w:val="clear" w:pos="1440"/>
                <w:tab w:val="clear" w:pos="2160"/>
                <w:tab w:val="clear" w:pos="2880"/>
                <w:tab w:val="clear" w:pos="4680"/>
                <w:tab w:val="clear" w:pos="5400"/>
                <w:tab w:val="clear" w:pos="9000"/>
              </w:tabs>
              <w:spacing w:before="120" w:after="120" w:line="360" w:lineRule="auto"/>
              <w:ind w:left="360"/>
              <w:jc w:val="left"/>
              <w:rPr>
                <w:rFonts w:ascii="Arial" w:hAnsi="Arial" w:cs="Arial"/>
                <w:lang w:eastAsia="en-GB"/>
              </w:rPr>
            </w:pPr>
            <w:r w:rsidRPr="005A7260">
              <w:rPr>
                <w:rFonts w:ascii="Arial" w:hAnsi="Arial" w:cs="Arial"/>
                <w:lang w:eastAsia="en-GB"/>
              </w:rPr>
              <w:t xml:space="preserve">Knowledge of </w:t>
            </w:r>
            <w:r>
              <w:rPr>
                <w:rFonts w:ascii="Arial" w:hAnsi="Arial" w:cs="Arial"/>
                <w:lang w:eastAsia="en-GB"/>
              </w:rPr>
              <w:t>digital development and cyber risk</w:t>
            </w:r>
          </w:p>
          <w:p w14:paraId="7F4DD81B" w14:textId="77777777" w:rsidR="005A7260" w:rsidRPr="005A7260" w:rsidRDefault="005A7260" w:rsidP="00721346">
            <w:pPr>
              <w:spacing w:before="120" w:after="120" w:line="360" w:lineRule="auto"/>
              <w:jc w:val="left"/>
              <w:rPr>
                <w:rFonts w:ascii="Arial" w:hAnsi="Arial" w:cs="Arial"/>
                <w:sz w:val="20"/>
                <w:lang w:eastAsia="en-GB"/>
              </w:rPr>
            </w:pPr>
          </w:p>
        </w:tc>
        <w:tc>
          <w:tcPr>
            <w:tcW w:w="4271" w:type="dxa"/>
            <w:shd w:val="clear" w:color="auto" w:fill="auto"/>
          </w:tcPr>
          <w:p w14:paraId="0B35E915" w14:textId="77777777" w:rsidR="005A7260" w:rsidRPr="005A7260" w:rsidRDefault="005A7260" w:rsidP="00721346">
            <w:pPr>
              <w:tabs>
                <w:tab w:val="clear" w:pos="1440"/>
                <w:tab w:val="clear" w:pos="2160"/>
                <w:tab w:val="clear" w:pos="2880"/>
                <w:tab w:val="clear" w:pos="4680"/>
                <w:tab w:val="clear" w:pos="5400"/>
                <w:tab w:val="clear" w:pos="9000"/>
              </w:tabs>
              <w:spacing w:before="120" w:after="120" w:line="360" w:lineRule="auto"/>
              <w:ind w:left="360"/>
              <w:jc w:val="left"/>
              <w:rPr>
                <w:rFonts w:ascii="Arial" w:hAnsi="Arial" w:cs="Arial"/>
                <w:lang w:eastAsia="en-GB"/>
              </w:rPr>
            </w:pPr>
            <w:r w:rsidRPr="005A7260">
              <w:rPr>
                <w:rFonts w:ascii="Arial" w:hAnsi="Arial" w:cs="Arial"/>
                <w:lang w:eastAsia="en-GB"/>
              </w:rPr>
              <w:t>Knowledge of Scottish bankruptcy and related legislation</w:t>
            </w:r>
          </w:p>
          <w:p w14:paraId="3A1CD218" w14:textId="6D2AFC4F" w:rsidR="005A7260" w:rsidRPr="005A7260" w:rsidRDefault="005A7260" w:rsidP="00721346">
            <w:pPr>
              <w:tabs>
                <w:tab w:val="clear" w:pos="720"/>
                <w:tab w:val="clear" w:pos="1440"/>
                <w:tab w:val="clear" w:pos="2160"/>
                <w:tab w:val="clear" w:pos="2880"/>
                <w:tab w:val="clear" w:pos="4680"/>
                <w:tab w:val="clear" w:pos="5400"/>
                <w:tab w:val="clear" w:pos="9000"/>
              </w:tabs>
              <w:spacing w:before="120" w:after="120" w:line="360" w:lineRule="auto"/>
              <w:ind w:left="360"/>
              <w:jc w:val="left"/>
              <w:rPr>
                <w:rFonts w:ascii="Arial" w:hAnsi="Arial" w:cs="Arial"/>
                <w:lang w:eastAsia="en-GB"/>
              </w:rPr>
            </w:pPr>
            <w:r w:rsidRPr="005A7260">
              <w:rPr>
                <w:rFonts w:ascii="Arial" w:hAnsi="Arial" w:cs="Arial"/>
                <w:lang w:eastAsia="en-GB"/>
              </w:rPr>
              <w:t>Membership of a relevant professional body</w:t>
            </w:r>
          </w:p>
        </w:tc>
      </w:tr>
      <w:tr w:rsidR="005A7260" w:rsidRPr="005A7260" w14:paraId="752EFEAE" w14:textId="77777777" w:rsidTr="00557A1C">
        <w:trPr>
          <w:trHeight w:val="2102"/>
        </w:trPr>
        <w:tc>
          <w:tcPr>
            <w:tcW w:w="1519" w:type="dxa"/>
            <w:shd w:val="clear" w:color="auto" w:fill="E7E6E6" w:themeFill="background2"/>
          </w:tcPr>
          <w:p w14:paraId="776D6336" w14:textId="77777777" w:rsidR="005A7260" w:rsidRPr="005A7260" w:rsidRDefault="005A7260" w:rsidP="00721346">
            <w:pPr>
              <w:spacing w:before="120" w:after="120" w:line="360" w:lineRule="auto"/>
              <w:rPr>
                <w:rFonts w:ascii="Arial" w:hAnsi="Arial" w:cs="Arial"/>
                <w:b/>
                <w:sz w:val="16"/>
                <w:szCs w:val="16"/>
                <w:lang w:eastAsia="en-GB"/>
              </w:rPr>
            </w:pPr>
          </w:p>
          <w:p w14:paraId="3A840F1F" w14:textId="77777777" w:rsidR="005A7260" w:rsidRPr="005A7260" w:rsidRDefault="005A7260" w:rsidP="00721346">
            <w:pPr>
              <w:spacing w:before="120" w:after="120" w:line="360" w:lineRule="auto"/>
              <w:rPr>
                <w:rFonts w:ascii="Arial" w:hAnsi="Arial" w:cs="Arial"/>
                <w:b/>
                <w:lang w:eastAsia="en-GB"/>
              </w:rPr>
            </w:pPr>
            <w:r w:rsidRPr="005A7260">
              <w:rPr>
                <w:rFonts w:ascii="Arial" w:hAnsi="Arial" w:cs="Arial"/>
                <w:b/>
                <w:lang w:eastAsia="en-GB"/>
              </w:rPr>
              <w:t>Skills</w:t>
            </w:r>
          </w:p>
          <w:p w14:paraId="7744DF84" w14:textId="77777777" w:rsidR="005A7260" w:rsidRPr="005A7260" w:rsidRDefault="005A7260" w:rsidP="00721346">
            <w:pPr>
              <w:spacing w:before="120" w:after="120" w:line="360" w:lineRule="auto"/>
              <w:rPr>
                <w:rFonts w:ascii="Arial" w:hAnsi="Arial" w:cs="Arial"/>
                <w:b/>
                <w:lang w:eastAsia="en-GB"/>
              </w:rPr>
            </w:pPr>
          </w:p>
        </w:tc>
        <w:tc>
          <w:tcPr>
            <w:tcW w:w="4643" w:type="dxa"/>
            <w:shd w:val="clear" w:color="auto" w:fill="auto"/>
          </w:tcPr>
          <w:p w14:paraId="30E3408E" w14:textId="77777777" w:rsidR="005A7260" w:rsidRPr="005A7260" w:rsidRDefault="005A7260" w:rsidP="00721346">
            <w:pPr>
              <w:tabs>
                <w:tab w:val="clear" w:pos="1440"/>
                <w:tab w:val="clear" w:pos="2160"/>
                <w:tab w:val="clear" w:pos="2880"/>
                <w:tab w:val="clear" w:pos="4680"/>
                <w:tab w:val="clear" w:pos="5400"/>
                <w:tab w:val="clear" w:pos="9000"/>
              </w:tabs>
              <w:spacing w:before="120" w:after="120" w:line="360" w:lineRule="auto"/>
              <w:ind w:left="360"/>
              <w:jc w:val="left"/>
              <w:rPr>
                <w:rFonts w:ascii="Arial" w:hAnsi="Arial" w:cs="Arial"/>
                <w:lang w:eastAsia="en-GB"/>
              </w:rPr>
            </w:pPr>
            <w:r w:rsidRPr="005A7260">
              <w:rPr>
                <w:rFonts w:ascii="Arial" w:hAnsi="Arial" w:cs="Arial"/>
                <w:lang w:eastAsia="en-GB"/>
              </w:rPr>
              <w:t>Highly developed interpersonal skills, including communication, influencing, motivating and negotiating, including the ability to provide constructive challenge</w:t>
            </w:r>
          </w:p>
        </w:tc>
        <w:tc>
          <w:tcPr>
            <w:tcW w:w="4271" w:type="dxa"/>
            <w:shd w:val="clear" w:color="auto" w:fill="auto"/>
          </w:tcPr>
          <w:p w14:paraId="6E029C31" w14:textId="77777777" w:rsidR="005A7260" w:rsidRPr="005A7260" w:rsidRDefault="005A7260" w:rsidP="00721346">
            <w:pPr>
              <w:tabs>
                <w:tab w:val="clear" w:pos="1440"/>
                <w:tab w:val="clear" w:pos="2160"/>
                <w:tab w:val="clear" w:pos="2880"/>
                <w:tab w:val="clear" w:pos="4680"/>
                <w:tab w:val="clear" w:pos="5400"/>
                <w:tab w:val="clear" w:pos="9000"/>
              </w:tabs>
              <w:spacing w:before="120" w:after="120" w:line="360" w:lineRule="auto"/>
              <w:ind w:left="360"/>
              <w:jc w:val="left"/>
              <w:rPr>
                <w:rFonts w:ascii="Arial" w:hAnsi="Arial" w:cs="Arial"/>
                <w:lang w:eastAsia="en-GB"/>
              </w:rPr>
            </w:pPr>
            <w:r w:rsidRPr="005A7260">
              <w:rPr>
                <w:rFonts w:ascii="Arial" w:hAnsi="Arial" w:cs="Arial"/>
                <w:lang w:eastAsia="en-GB"/>
              </w:rPr>
              <w:t>A demonstrated approach and commitment to personal learning and development</w:t>
            </w:r>
          </w:p>
        </w:tc>
      </w:tr>
    </w:tbl>
    <w:p w14:paraId="0FC58D7E" w14:textId="270EE4F0" w:rsidR="0006284E" w:rsidRPr="005A7260" w:rsidRDefault="0006284E" w:rsidP="005A7260">
      <w:pPr>
        <w:spacing w:before="120" w:after="120" w:line="360" w:lineRule="auto"/>
      </w:pPr>
    </w:p>
    <w:sectPr w:rsidR="0006284E" w:rsidRPr="005A7260" w:rsidSect="00154137">
      <w:headerReference w:type="default" r:id="rId9"/>
      <w:footerReference w:type="default" r:id="rId10"/>
      <w:pgSz w:w="11906" w:h="16838" w:code="9"/>
      <w:pgMar w:top="862" w:right="862" w:bottom="862" w:left="862" w:header="454" w:footer="5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566D0" w14:textId="77777777" w:rsidR="002D6BD8" w:rsidRDefault="002D6BD8">
      <w:r>
        <w:separator/>
      </w:r>
    </w:p>
  </w:endnote>
  <w:endnote w:type="continuationSeparator" w:id="0">
    <w:p w14:paraId="3DE61EAA" w14:textId="77777777" w:rsidR="002D6BD8" w:rsidRDefault="002D6BD8">
      <w:r>
        <w:continuationSeparator/>
      </w:r>
    </w:p>
  </w:endnote>
  <w:endnote w:type="continuationNotice" w:id="1">
    <w:p w14:paraId="0A0CDF0C" w14:textId="77777777" w:rsidR="002D6BD8" w:rsidRDefault="002D6B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5000785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57EA" w14:textId="77777777" w:rsidR="005D5653" w:rsidRPr="001C388E" w:rsidRDefault="005D5653" w:rsidP="00A65B8D">
    <w:pPr>
      <w:pStyle w:val="Footer"/>
      <w:framePr w:wrap="around" w:vAnchor="text" w:hAnchor="margin" w:xAlign="center" w:y="1"/>
      <w:rPr>
        <w:rStyle w:val="PageNumber"/>
        <w:rFonts w:ascii="Arial" w:hAnsi="Arial" w:cs="Arial"/>
      </w:rPr>
    </w:pPr>
    <w:r w:rsidRPr="001C388E">
      <w:rPr>
        <w:rStyle w:val="PageNumber"/>
        <w:rFonts w:ascii="Arial" w:hAnsi="Arial" w:cs="Arial"/>
      </w:rPr>
      <w:fldChar w:fldCharType="begin"/>
    </w:r>
    <w:r w:rsidRPr="001C388E">
      <w:rPr>
        <w:rStyle w:val="PageNumber"/>
        <w:rFonts w:ascii="Arial" w:hAnsi="Arial" w:cs="Arial"/>
      </w:rPr>
      <w:instrText xml:space="preserve">PAGE  </w:instrText>
    </w:r>
    <w:r w:rsidRPr="001C388E">
      <w:rPr>
        <w:rStyle w:val="PageNumber"/>
        <w:rFonts w:ascii="Arial" w:hAnsi="Arial" w:cs="Arial"/>
      </w:rPr>
      <w:fldChar w:fldCharType="separate"/>
    </w:r>
    <w:r w:rsidR="0071048D">
      <w:rPr>
        <w:rStyle w:val="PageNumber"/>
        <w:rFonts w:ascii="Arial" w:hAnsi="Arial" w:cs="Arial"/>
        <w:noProof/>
      </w:rPr>
      <w:t>10</w:t>
    </w:r>
    <w:r w:rsidRPr="001C388E">
      <w:rPr>
        <w:rStyle w:val="PageNumber"/>
        <w:rFonts w:ascii="Arial" w:hAnsi="Arial" w:cs="Arial"/>
      </w:rPr>
      <w:fldChar w:fldCharType="end"/>
    </w:r>
  </w:p>
  <w:p w14:paraId="0FB6A46C" w14:textId="77777777" w:rsidR="005D5653" w:rsidRDefault="005D5653" w:rsidP="00A65B8D">
    <w:pPr>
      <w:pStyle w:val="Footer"/>
      <w:tabs>
        <w:tab w:val="clear" w:pos="4153"/>
        <w:tab w:val="clear" w:pos="8306"/>
        <w:tab w:val="center" w:pos="4500"/>
        <w:tab w:val="right" w:pos="900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70324" w14:textId="77777777" w:rsidR="002D6BD8" w:rsidRDefault="002D6BD8">
      <w:r>
        <w:separator/>
      </w:r>
    </w:p>
  </w:footnote>
  <w:footnote w:type="continuationSeparator" w:id="0">
    <w:p w14:paraId="4325C178" w14:textId="77777777" w:rsidR="002D6BD8" w:rsidRDefault="002D6BD8">
      <w:r>
        <w:continuationSeparator/>
      </w:r>
    </w:p>
  </w:footnote>
  <w:footnote w:type="continuationNotice" w:id="1">
    <w:p w14:paraId="1DCBB81F" w14:textId="77777777" w:rsidR="002D6BD8" w:rsidRDefault="002D6B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F499" w14:textId="5EC340B6" w:rsidR="005D5653" w:rsidRDefault="005D5653" w:rsidP="004474FD">
    <w:pPr>
      <w:pStyle w:val="Header"/>
      <w:tabs>
        <w:tab w:val="clear" w:pos="4153"/>
        <w:tab w:val="clear" w:pos="8306"/>
        <w:tab w:val="center" w:pos="4500"/>
        <w:tab w:val="right" w:pos="9000"/>
      </w:tabs>
      <w:rPr>
        <w:rFonts w:ascii="Verdana" w:hAnsi="Verdana"/>
        <w:b/>
        <w:sz w:val="22"/>
        <w:szCs w:val="22"/>
      </w:rPr>
    </w:pPr>
  </w:p>
  <w:p w14:paraId="77328A37" w14:textId="77777777" w:rsidR="005D5653" w:rsidRDefault="005D5653" w:rsidP="004474FD">
    <w:pPr>
      <w:pStyle w:val="Header"/>
      <w:tabs>
        <w:tab w:val="clear" w:pos="4153"/>
        <w:tab w:val="clear" w:pos="8306"/>
        <w:tab w:val="center" w:pos="4500"/>
        <w:tab w:val="right" w:pos="9000"/>
      </w:tabs>
      <w:rPr>
        <w:rFonts w:ascii="Verdana" w:hAnsi="Verdana"/>
        <w:b/>
        <w:sz w:val="22"/>
        <w:szCs w:val="22"/>
      </w:rPr>
    </w:pPr>
  </w:p>
  <w:p w14:paraId="68ED4AC0" w14:textId="77777777" w:rsidR="005D5653" w:rsidRDefault="005D5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632DA6"/>
    <w:multiLevelType w:val="multilevel"/>
    <w:tmpl w:val="0060A904"/>
    <w:lvl w:ilvl="0">
      <w:start w:val="3"/>
      <w:numFmt w:val="decimal"/>
      <w:pStyle w:val="Grey2a"/>
      <w:lvlText w:val="%1"/>
      <w:lvlJc w:val="left"/>
      <w:pPr>
        <w:tabs>
          <w:tab w:val="num" w:pos="432"/>
        </w:tabs>
        <w:ind w:left="432" w:hanging="432"/>
      </w:pPr>
      <w:rPr>
        <w:rFonts w:hint="default"/>
      </w:rPr>
    </w:lvl>
    <w:lvl w:ilvl="1">
      <w:start w:val="2"/>
      <w:numFmt w:val="decimal"/>
      <w:pStyle w:val="Grey2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A93189"/>
    <w:multiLevelType w:val="hybridMultilevel"/>
    <w:tmpl w:val="1688B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3FCB"/>
    <w:multiLevelType w:val="hybridMultilevel"/>
    <w:tmpl w:val="7778C236"/>
    <w:lvl w:ilvl="0" w:tplc="D37E225C">
      <w:numFmt w:val="bullet"/>
      <w:lvlText w:val="•"/>
      <w:lvlJc w:val="left"/>
      <w:pPr>
        <w:ind w:left="1080" w:hanging="72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B3FD0"/>
    <w:multiLevelType w:val="hybridMultilevel"/>
    <w:tmpl w:val="BD4464F0"/>
    <w:lvl w:ilvl="0" w:tplc="A7BA0AE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A3B0F"/>
    <w:multiLevelType w:val="hybridMultilevel"/>
    <w:tmpl w:val="E65881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664A5"/>
    <w:multiLevelType w:val="hybridMultilevel"/>
    <w:tmpl w:val="D496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43394"/>
    <w:multiLevelType w:val="hybridMultilevel"/>
    <w:tmpl w:val="0EEEFC4E"/>
    <w:lvl w:ilvl="0" w:tplc="A7BA0AE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68476A"/>
    <w:multiLevelType w:val="hybridMultilevel"/>
    <w:tmpl w:val="C916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F7001"/>
    <w:multiLevelType w:val="hybridMultilevel"/>
    <w:tmpl w:val="3342C2BC"/>
    <w:lvl w:ilvl="0" w:tplc="C1149F28">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5533F1"/>
    <w:multiLevelType w:val="singleLevel"/>
    <w:tmpl w:val="E8D6E92C"/>
    <w:lvl w:ilvl="0">
      <w:start w:val="1"/>
      <w:numFmt w:val="lowerLetter"/>
      <w:lvlText w:val="%1."/>
      <w:legacy w:legacy="1" w:legacySpace="288" w:legacyIndent="720"/>
      <w:lvlJc w:val="left"/>
    </w:lvl>
  </w:abstractNum>
  <w:abstractNum w:abstractNumId="11" w15:restartNumberingAfterBreak="0">
    <w:nsid w:val="59CF1AB4"/>
    <w:multiLevelType w:val="multilevel"/>
    <w:tmpl w:val="183C37F0"/>
    <w:lvl w:ilvl="0">
      <w:start w:val="1"/>
      <w:numFmt w:val="bullet"/>
      <w:lvlText w:val=""/>
      <w:lvlJc w:val="left"/>
      <w:pPr>
        <w:tabs>
          <w:tab w:val="num" w:pos="454"/>
        </w:tabs>
        <w:ind w:left="454" w:hanging="454"/>
      </w:pPr>
      <w:rPr>
        <w:rFonts w:ascii="Wingdings" w:hAnsi="Wingdings"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BAF5E30"/>
    <w:multiLevelType w:val="hybridMultilevel"/>
    <w:tmpl w:val="6836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B640D"/>
    <w:multiLevelType w:val="hybridMultilevel"/>
    <w:tmpl w:val="4BC8CC1C"/>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00EF9"/>
    <w:multiLevelType w:val="hybridMultilevel"/>
    <w:tmpl w:val="183C37F0"/>
    <w:lvl w:ilvl="0" w:tplc="9D348424">
      <w:start w:val="1"/>
      <w:numFmt w:val="bullet"/>
      <w:lvlText w:val=""/>
      <w:lvlJc w:val="left"/>
      <w:pPr>
        <w:tabs>
          <w:tab w:val="num" w:pos="454"/>
        </w:tabs>
        <w:ind w:left="454" w:hanging="454"/>
      </w:pPr>
      <w:rPr>
        <w:rFonts w:ascii="Wingdings" w:hAnsi="Wingdings"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F578E5"/>
    <w:multiLevelType w:val="hybridMultilevel"/>
    <w:tmpl w:val="566E0AF0"/>
    <w:lvl w:ilvl="0" w:tplc="A7BA0AE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64615318">
    <w:abstractNumId w:val="12"/>
  </w:num>
  <w:num w:numId="2" w16cid:durableId="423302750">
    <w:abstractNumId w:val="0"/>
  </w:num>
  <w:num w:numId="3" w16cid:durableId="1659000024">
    <w:abstractNumId w:val="10"/>
  </w:num>
  <w:num w:numId="4" w16cid:durableId="1998729206">
    <w:abstractNumId w:val="2"/>
  </w:num>
  <w:num w:numId="5" w16cid:durableId="335151785">
    <w:abstractNumId w:val="1"/>
  </w:num>
  <w:num w:numId="6" w16cid:durableId="709913427">
    <w:abstractNumId w:val="15"/>
  </w:num>
  <w:num w:numId="7" w16cid:durableId="840630918">
    <w:abstractNumId w:val="11"/>
  </w:num>
  <w:num w:numId="8" w16cid:durableId="1785418506">
    <w:abstractNumId w:val="7"/>
  </w:num>
  <w:num w:numId="9" w16cid:durableId="818502832">
    <w:abstractNumId w:val="16"/>
  </w:num>
  <w:num w:numId="10" w16cid:durableId="1768767817">
    <w:abstractNumId w:val="9"/>
  </w:num>
  <w:num w:numId="11" w16cid:durableId="1536312112">
    <w:abstractNumId w:val="5"/>
  </w:num>
  <w:num w:numId="12" w16cid:durableId="1722288907">
    <w:abstractNumId w:val="8"/>
  </w:num>
  <w:num w:numId="13" w16cid:durableId="898518778">
    <w:abstractNumId w:val="4"/>
  </w:num>
  <w:num w:numId="14" w16cid:durableId="1295866127">
    <w:abstractNumId w:val="13"/>
  </w:num>
  <w:num w:numId="15" w16cid:durableId="309141742">
    <w:abstractNumId w:val="3"/>
  </w:num>
  <w:num w:numId="16" w16cid:durableId="805901794">
    <w:abstractNumId w:val="6"/>
  </w:num>
  <w:num w:numId="17" w16cid:durableId="29290826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CB"/>
    <w:rsid w:val="00001181"/>
    <w:rsid w:val="00001ED5"/>
    <w:rsid w:val="00003718"/>
    <w:rsid w:val="00006D0B"/>
    <w:rsid w:val="0001074D"/>
    <w:rsid w:val="0001132C"/>
    <w:rsid w:val="00012630"/>
    <w:rsid w:val="000126C5"/>
    <w:rsid w:val="00012D81"/>
    <w:rsid w:val="0001430B"/>
    <w:rsid w:val="000149F2"/>
    <w:rsid w:val="00015B44"/>
    <w:rsid w:val="0001740E"/>
    <w:rsid w:val="00020A32"/>
    <w:rsid w:val="00020E72"/>
    <w:rsid w:val="00021456"/>
    <w:rsid w:val="00022AE0"/>
    <w:rsid w:val="00023DE1"/>
    <w:rsid w:val="00023E40"/>
    <w:rsid w:val="00025055"/>
    <w:rsid w:val="00025F2D"/>
    <w:rsid w:val="0002604C"/>
    <w:rsid w:val="00026360"/>
    <w:rsid w:val="00027D21"/>
    <w:rsid w:val="00027F7D"/>
    <w:rsid w:val="000312CA"/>
    <w:rsid w:val="00032130"/>
    <w:rsid w:val="00032473"/>
    <w:rsid w:val="00033672"/>
    <w:rsid w:val="00034D60"/>
    <w:rsid w:val="00034FB5"/>
    <w:rsid w:val="0003501A"/>
    <w:rsid w:val="000356B6"/>
    <w:rsid w:val="00036B71"/>
    <w:rsid w:val="000401C1"/>
    <w:rsid w:val="00040753"/>
    <w:rsid w:val="000411D0"/>
    <w:rsid w:val="000441A0"/>
    <w:rsid w:val="0004571C"/>
    <w:rsid w:val="000459CD"/>
    <w:rsid w:val="00046AE2"/>
    <w:rsid w:val="0004776D"/>
    <w:rsid w:val="00050405"/>
    <w:rsid w:val="00050546"/>
    <w:rsid w:val="00050B25"/>
    <w:rsid w:val="00052064"/>
    <w:rsid w:val="000525B3"/>
    <w:rsid w:val="00052D3B"/>
    <w:rsid w:val="00056CE3"/>
    <w:rsid w:val="000615F4"/>
    <w:rsid w:val="0006284E"/>
    <w:rsid w:val="000629FA"/>
    <w:rsid w:val="00062D66"/>
    <w:rsid w:val="00064F67"/>
    <w:rsid w:val="00065067"/>
    <w:rsid w:val="00065358"/>
    <w:rsid w:val="0006668E"/>
    <w:rsid w:val="00067B78"/>
    <w:rsid w:val="00070DFA"/>
    <w:rsid w:val="00071A42"/>
    <w:rsid w:val="00074431"/>
    <w:rsid w:val="00074E03"/>
    <w:rsid w:val="00082EB0"/>
    <w:rsid w:val="00083BBA"/>
    <w:rsid w:val="00084027"/>
    <w:rsid w:val="00084A87"/>
    <w:rsid w:val="00086F72"/>
    <w:rsid w:val="000900DF"/>
    <w:rsid w:val="00091E90"/>
    <w:rsid w:val="000A4468"/>
    <w:rsid w:val="000A6FCD"/>
    <w:rsid w:val="000A7165"/>
    <w:rsid w:val="000A724D"/>
    <w:rsid w:val="000A7679"/>
    <w:rsid w:val="000A7A5A"/>
    <w:rsid w:val="000B2895"/>
    <w:rsid w:val="000B37F7"/>
    <w:rsid w:val="000B4370"/>
    <w:rsid w:val="000B63EF"/>
    <w:rsid w:val="000B683E"/>
    <w:rsid w:val="000B6911"/>
    <w:rsid w:val="000B6F43"/>
    <w:rsid w:val="000C0ED9"/>
    <w:rsid w:val="000C2CFC"/>
    <w:rsid w:val="000C355B"/>
    <w:rsid w:val="000C3D5C"/>
    <w:rsid w:val="000C3DDC"/>
    <w:rsid w:val="000C4DFE"/>
    <w:rsid w:val="000D0F2F"/>
    <w:rsid w:val="000D3E71"/>
    <w:rsid w:val="000D428C"/>
    <w:rsid w:val="000D4AF1"/>
    <w:rsid w:val="000D6ABD"/>
    <w:rsid w:val="000E115D"/>
    <w:rsid w:val="000E1A7B"/>
    <w:rsid w:val="000E2AE4"/>
    <w:rsid w:val="000E4E8C"/>
    <w:rsid w:val="000E59CB"/>
    <w:rsid w:val="000E650B"/>
    <w:rsid w:val="000F0C15"/>
    <w:rsid w:val="000F17B5"/>
    <w:rsid w:val="000F31AB"/>
    <w:rsid w:val="000F48AF"/>
    <w:rsid w:val="000F7FD2"/>
    <w:rsid w:val="001022F7"/>
    <w:rsid w:val="001032C3"/>
    <w:rsid w:val="001041F0"/>
    <w:rsid w:val="00104C87"/>
    <w:rsid w:val="00107F78"/>
    <w:rsid w:val="00113315"/>
    <w:rsid w:val="001133D7"/>
    <w:rsid w:val="00114F85"/>
    <w:rsid w:val="00115218"/>
    <w:rsid w:val="001165FB"/>
    <w:rsid w:val="00120855"/>
    <w:rsid w:val="00120DC1"/>
    <w:rsid w:val="001215B0"/>
    <w:rsid w:val="001222D4"/>
    <w:rsid w:val="001223F4"/>
    <w:rsid w:val="00122475"/>
    <w:rsid w:val="00125E6B"/>
    <w:rsid w:val="00126AA6"/>
    <w:rsid w:val="00126F49"/>
    <w:rsid w:val="00127B68"/>
    <w:rsid w:val="00130352"/>
    <w:rsid w:val="00130463"/>
    <w:rsid w:val="0013202D"/>
    <w:rsid w:val="00133AE0"/>
    <w:rsid w:val="00134833"/>
    <w:rsid w:val="001351D1"/>
    <w:rsid w:val="00136A22"/>
    <w:rsid w:val="00137773"/>
    <w:rsid w:val="00137892"/>
    <w:rsid w:val="00140336"/>
    <w:rsid w:val="00141904"/>
    <w:rsid w:val="001436F0"/>
    <w:rsid w:val="00143B59"/>
    <w:rsid w:val="00145DE0"/>
    <w:rsid w:val="0014663C"/>
    <w:rsid w:val="001530C5"/>
    <w:rsid w:val="00153BA3"/>
    <w:rsid w:val="00153DAF"/>
    <w:rsid w:val="00154137"/>
    <w:rsid w:val="0015473D"/>
    <w:rsid w:val="00155325"/>
    <w:rsid w:val="00155838"/>
    <w:rsid w:val="00157346"/>
    <w:rsid w:val="00160B3C"/>
    <w:rsid w:val="00162C4E"/>
    <w:rsid w:val="001649BF"/>
    <w:rsid w:val="00165C3D"/>
    <w:rsid w:val="00167AC1"/>
    <w:rsid w:val="0017264A"/>
    <w:rsid w:val="00172BAD"/>
    <w:rsid w:val="00173E40"/>
    <w:rsid w:val="001746EA"/>
    <w:rsid w:val="00175DE8"/>
    <w:rsid w:val="00177389"/>
    <w:rsid w:val="00181B60"/>
    <w:rsid w:val="00182AB3"/>
    <w:rsid w:val="00183FE7"/>
    <w:rsid w:val="001843B1"/>
    <w:rsid w:val="001865FB"/>
    <w:rsid w:val="00187557"/>
    <w:rsid w:val="00187A1D"/>
    <w:rsid w:val="00191BCA"/>
    <w:rsid w:val="00192DC7"/>
    <w:rsid w:val="0019375C"/>
    <w:rsid w:val="00193BB5"/>
    <w:rsid w:val="001959C1"/>
    <w:rsid w:val="001A2A38"/>
    <w:rsid w:val="001A2B61"/>
    <w:rsid w:val="001A4C60"/>
    <w:rsid w:val="001A7004"/>
    <w:rsid w:val="001A7E25"/>
    <w:rsid w:val="001B02B5"/>
    <w:rsid w:val="001B042B"/>
    <w:rsid w:val="001B0E1F"/>
    <w:rsid w:val="001B2E54"/>
    <w:rsid w:val="001B319D"/>
    <w:rsid w:val="001B5715"/>
    <w:rsid w:val="001B5785"/>
    <w:rsid w:val="001B5C79"/>
    <w:rsid w:val="001B7D42"/>
    <w:rsid w:val="001C0419"/>
    <w:rsid w:val="001C1D78"/>
    <w:rsid w:val="001C2493"/>
    <w:rsid w:val="001C3659"/>
    <w:rsid w:val="001C388E"/>
    <w:rsid w:val="001D4E2E"/>
    <w:rsid w:val="001D5A88"/>
    <w:rsid w:val="001D5D3C"/>
    <w:rsid w:val="001D78DE"/>
    <w:rsid w:val="001E04D0"/>
    <w:rsid w:val="001E23CF"/>
    <w:rsid w:val="001E379B"/>
    <w:rsid w:val="001E7A25"/>
    <w:rsid w:val="001F1103"/>
    <w:rsid w:val="001F7A28"/>
    <w:rsid w:val="001F7F4F"/>
    <w:rsid w:val="00200EBD"/>
    <w:rsid w:val="0020307A"/>
    <w:rsid w:val="00203816"/>
    <w:rsid w:val="00204DDF"/>
    <w:rsid w:val="002053E3"/>
    <w:rsid w:val="00206061"/>
    <w:rsid w:val="00206B91"/>
    <w:rsid w:val="00206BDC"/>
    <w:rsid w:val="00210224"/>
    <w:rsid w:val="00211144"/>
    <w:rsid w:val="002117D1"/>
    <w:rsid w:val="00212E2E"/>
    <w:rsid w:val="0021312D"/>
    <w:rsid w:val="00215C8C"/>
    <w:rsid w:val="0021690B"/>
    <w:rsid w:val="002171BB"/>
    <w:rsid w:val="00221A40"/>
    <w:rsid w:val="00222944"/>
    <w:rsid w:val="0022346A"/>
    <w:rsid w:val="002248A2"/>
    <w:rsid w:val="00226247"/>
    <w:rsid w:val="00230189"/>
    <w:rsid w:val="0023235B"/>
    <w:rsid w:val="00232DB1"/>
    <w:rsid w:val="00240064"/>
    <w:rsid w:val="0024073D"/>
    <w:rsid w:val="002419E4"/>
    <w:rsid w:val="002429BB"/>
    <w:rsid w:val="002430A1"/>
    <w:rsid w:val="00243737"/>
    <w:rsid w:val="00244214"/>
    <w:rsid w:val="00244F17"/>
    <w:rsid w:val="002470B6"/>
    <w:rsid w:val="002470F2"/>
    <w:rsid w:val="00247950"/>
    <w:rsid w:val="0025245C"/>
    <w:rsid w:val="00252A6D"/>
    <w:rsid w:val="0025669B"/>
    <w:rsid w:val="00257BAB"/>
    <w:rsid w:val="0026019A"/>
    <w:rsid w:val="00260248"/>
    <w:rsid w:val="002604A6"/>
    <w:rsid w:val="00260554"/>
    <w:rsid w:val="00262A0C"/>
    <w:rsid w:val="00262BA8"/>
    <w:rsid w:val="002644E7"/>
    <w:rsid w:val="00266003"/>
    <w:rsid w:val="00266871"/>
    <w:rsid w:val="00267DEA"/>
    <w:rsid w:val="00270719"/>
    <w:rsid w:val="002758DF"/>
    <w:rsid w:val="00276A2C"/>
    <w:rsid w:val="002776B1"/>
    <w:rsid w:val="00280A45"/>
    <w:rsid w:val="00281077"/>
    <w:rsid w:val="00281177"/>
    <w:rsid w:val="00284F7B"/>
    <w:rsid w:val="0028598F"/>
    <w:rsid w:val="00286F16"/>
    <w:rsid w:val="00290AE9"/>
    <w:rsid w:val="00291FF1"/>
    <w:rsid w:val="00292FB0"/>
    <w:rsid w:val="002940DC"/>
    <w:rsid w:val="002942FC"/>
    <w:rsid w:val="0029620E"/>
    <w:rsid w:val="00296B66"/>
    <w:rsid w:val="002A2444"/>
    <w:rsid w:val="002A29F9"/>
    <w:rsid w:val="002A38D5"/>
    <w:rsid w:val="002A4B9B"/>
    <w:rsid w:val="002A6E52"/>
    <w:rsid w:val="002A79EA"/>
    <w:rsid w:val="002B0B34"/>
    <w:rsid w:val="002B1BDC"/>
    <w:rsid w:val="002B1C44"/>
    <w:rsid w:val="002B239C"/>
    <w:rsid w:val="002B24F2"/>
    <w:rsid w:val="002B2909"/>
    <w:rsid w:val="002B38B2"/>
    <w:rsid w:val="002B3E7D"/>
    <w:rsid w:val="002B4889"/>
    <w:rsid w:val="002B655D"/>
    <w:rsid w:val="002B6D34"/>
    <w:rsid w:val="002B7613"/>
    <w:rsid w:val="002C0230"/>
    <w:rsid w:val="002C0281"/>
    <w:rsid w:val="002C1101"/>
    <w:rsid w:val="002C1540"/>
    <w:rsid w:val="002C1E37"/>
    <w:rsid w:val="002C4AD4"/>
    <w:rsid w:val="002C503D"/>
    <w:rsid w:val="002C5F0A"/>
    <w:rsid w:val="002C6C67"/>
    <w:rsid w:val="002C6E06"/>
    <w:rsid w:val="002D0745"/>
    <w:rsid w:val="002D2EDF"/>
    <w:rsid w:val="002D4FA8"/>
    <w:rsid w:val="002D643A"/>
    <w:rsid w:val="002D6BD8"/>
    <w:rsid w:val="002E0A82"/>
    <w:rsid w:val="002E5855"/>
    <w:rsid w:val="002F08A6"/>
    <w:rsid w:val="002F1E66"/>
    <w:rsid w:val="002F5A0F"/>
    <w:rsid w:val="002F5CA6"/>
    <w:rsid w:val="002F70CC"/>
    <w:rsid w:val="00300D60"/>
    <w:rsid w:val="00303EF1"/>
    <w:rsid w:val="00304514"/>
    <w:rsid w:val="003047FC"/>
    <w:rsid w:val="0030553D"/>
    <w:rsid w:val="00306171"/>
    <w:rsid w:val="00306500"/>
    <w:rsid w:val="00310766"/>
    <w:rsid w:val="003141EE"/>
    <w:rsid w:val="00314218"/>
    <w:rsid w:val="003167D0"/>
    <w:rsid w:val="00317292"/>
    <w:rsid w:val="003202FC"/>
    <w:rsid w:val="00321514"/>
    <w:rsid w:val="003232EC"/>
    <w:rsid w:val="003236FE"/>
    <w:rsid w:val="00324222"/>
    <w:rsid w:val="00325C4D"/>
    <w:rsid w:val="00326D88"/>
    <w:rsid w:val="003277A5"/>
    <w:rsid w:val="003310D7"/>
    <w:rsid w:val="00332956"/>
    <w:rsid w:val="00335B90"/>
    <w:rsid w:val="00335D22"/>
    <w:rsid w:val="003401B0"/>
    <w:rsid w:val="00341834"/>
    <w:rsid w:val="00343495"/>
    <w:rsid w:val="003438E1"/>
    <w:rsid w:val="00344512"/>
    <w:rsid w:val="003450DA"/>
    <w:rsid w:val="00345AD3"/>
    <w:rsid w:val="00351205"/>
    <w:rsid w:val="0035288E"/>
    <w:rsid w:val="00352CB5"/>
    <w:rsid w:val="00353ED9"/>
    <w:rsid w:val="00354120"/>
    <w:rsid w:val="003567AB"/>
    <w:rsid w:val="00356D68"/>
    <w:rsid w:val="0036072A"/>
    <w:rsid w:val="003668BE"/>
    <w:rsid w:val="0036736E"/>
    <w:rsid w:val="00371A62"/>
    <w:rsid w:val="00371F90"/>
    <w:rsid w:val="00372F05"/>
    <w:rsid w:val="00382B21"/>
    <w:rsid w:val="00386B40"/>
    <w:rsid w:val="00386B84"/>
    <w:rsid w:val="0039213C"/>
    <w:rsid w:val="00393396"/>
    <w:rsid w:val="00394944"/>
    <w:rsid w:val="003968E3"/>
    <w:rsid w:val="003978BC"/>
    <w:rsid w:val="00397EA9"/>
    <w:rsid w:val="003A0443"/>
    <w:rsid w:val="003A18E6"/>
    <w:rsid w:val="003A1BE7"/>
    <w:rsid w:val="003A1E6E"/>
    <w:rsid w:val="003A26EE"/>
    <w:rsid w:val="003A2CD5"/>
    <w:rsid w:val="003A3D64"/>
    <w:rsid w:val="003A66DC"/>
    <w:rsid w:val="003A7218"/>
    <w:rsid w:val="003A72F0"/>
    <w:rsid w:val="003A7AFD"/>
    <w:rsid w:val="003B67D4"/>
    <w:rsid w:val="003B6F59"/>
    <w:rsid w:val="003C0E8A"/>
    <w:rsid w:val="003C0FB7"/>
    <w:rsid w:val="003C1E58"/>
    <w:rsid w:val="003C2F0F"/>
    <w:rsid w:val="003C40B4"/>
    <w:rsid w:val="003C44C1"/>
    <w:rsid w:val="003C5762"/>
    <w:rsid w:val="003C5A13"/>
    <w:rsid w:val="003C6365"/>
    <w:rsid w:val="003D31FB"/>
    <w:rsid w:val="003D3427"/>
    <w:rsid w:val="003D7B12"/>
    <w:rsid w:val="003D7D65"/>
    <w:rsid w:val="003E1040"/>
    <w:rsid w:val="003E1523"/>
    <w:rsid w:val="003E154D"/>
    <w:rsid w:val="003E1597"/>
    <w:rsid w:val="003E2630"/>
    <w:rsid w:val="003E2F28"/>
    <w:rsid w:val="003E3F70"/>
    <w:rsid w:val="003E4236"/>
    <w:rsid w:val="003F0518"/>
    <w:rsid w:val="003F062B"/>
    <w:rsid w:val="003F1999"/>
    <w:rsid w:val="003F1B40"/>
    <w:rsid w:val="003F2479"/>
    <w:rsid w:val="003F2CB8"/>
    <w:rsid w:val="003F4198"/>
    <w:rsid w:val="003F4307"/>
    <w:rsid w:val="003F4E9C"/>
    <w:rsid w:val="003F53B9"/>
    <w:rsid w:val="003F700A"/>
    <w:rsid w:val="0040021A"/>
    <w:rsid w:val="00401361"/>
    <w:rsid w:val="00403D5B"/>
    <w:rsid w:val="00410D58"/>
    <w:rsid w:val="004111D4"/>
    <w:rsid w:val="004132B2"/>
    <w:rsid w:val="004151ED"/>
    <w:rsid w:val="00415518"/>
    <w:rsid w:val="004172B6"/>
    <w:rsid w:val="00417D2E"/>
    <w:rsid w:val="00421C3C"/>
    <w:rsid w:val="004226C6"/>
    <w:rsid w:val="0043330F"/>
    <w:rsid w:val="00433405"/>
    <w:rsid w:val="00433944"/>
    <w:rsid w:val="00434FDC"/>
    <w:rsid w:val="00435FEA"/>
    <w:rsid w:val="0043668F"/>
    <w:rsid w:val="00437254"/>
    <w:rsid w:val="004426EB"/>
    <w:rsid w:val="004427E2"/>
    <w:rsid w:val="0044406C"/>
    <w:rsid w:val="004474FD"/>
    <w:rsid w:val="004478C8"/>
    <w:rsid w:val="00447938"/>
    <w:rsid w:val="00447DD9"/>
    <w:rsid w:val="00447F0B"/>
    <w:rsid w:val="00450252"/>
    <w:rsid w:val="0045032B"/>
    <w:rsid w:val="004524E5"/>
    <w:rsid w:val="004530A8"/>
    <w:rsid w:val="00453E02"/>
    <w:rsid w:val="00460E8A"/>
    <w:rsid w:val="0046110A"/>
    <w:rsid w:val="004625FB"/>
    <w:rsid w:val="004627B4"/>
    <w:rsid w:val="00463F32"/>
    <w:rsid w:val="00466F27"/>
    <w:rsid w:val="004670A4"/>
    <w:rsid w:val="004678D5"/>
    <w:rsid w:val="0047303F"/>
    <w:rsid w:val="0047342E"/>
    <w:rsid w:val="00474B9C"/>
    <w:rsid w:val="004760B8"/>
    <w:rsid w:val="0047655A"/>
    <w:rsid w:val="0047703A"/>
    <w:rsid w:val="00477130"/>
    <w:rsid w:val="00477885"/>
    <w:rsid w:val="004779C0"/>
    <w:rsid w:val="00477C08"/>
    <w:rsid w:val="00477D93"/>
    <w:rsid w:val="00480AB2"/>
    <w:rsid w:val="00483171"/>
    <w:rsid w:val="00490489"/>
    <w:rsid w:val="00491828"/>
    <w:rsid w:val="00491F5C"/>
    <w:rsid w:val="004970B5"/>
    <w:rsid w:val="004A1C68"/>
    <w:rsid w:val="004A4BF2"/>
    <w:rsid w:val="004A7FE0"/>
    <w:rsid w:val="004B3999"/>
    <w:rsid w:val="004B5AF9"/>
    <w:rsid w:val="004B6284"/>
    <w:rsid w:val="004C05CB"/>
    <w:rsid w:val="004C2700"/>
    <w:rsid w:val="004C28B7"/>
    <w:rsid w:val="004C3433"/>
    <w:rsid w:val="004C3FFC"/>
    <w:rsid w:val="004C4B60"/>
    <w:rsid w:val="004C4DAB"/>
    <w:rsid w:val="004C564D"/>
    <w:rsid w:val="004C6C13"/>
    <w:rsid w:val="004C77F0"/>
    <w:rsid w:val="004D5962"/>
    <w:rsid w:val="004D7B85"/>
    <w:rsid w:val="004D7BC6"/>
    <w:rsid w:val="004E02BC"/>
    <w:rsid w:val="004E03CA"/>
    <w:rsid w:val="004E1BD4"/>
    <w:rsid w:val="004E26FF"/>
    <w:rsid w:val="004E3A19"/>
    <w:rsid w:val="004E46CF"/>
    <w:rsid w:val="004E67CF"/>
    <w:rsid w:val="004F0625"/>
    <w:rsid w:val="004F1199"/>
    <w:rsid w:val="004F1C00"/>
    <w:rsid w:val="004F1E79"/>
    <w:rsid w:val="004F2004"/>
    <w:rsid w:val="004F2190"/>
    <w:rsid w:val="004F392F"/>
    <w:rsid w:val="004F3DC7"/>
    <w:rsid w:val="004F53F8"/>
    <w:rsid w:val="0050235C"/>
    <w:rsid w:val="00502FD6"/>
    <w:rsid w:val="00504BBE"/>
    <w:rsid w:val="00505B2E"/>
    <w:rsid w:val="0050759F"/>
    <w:rsid w:val="005076DA"/>
    <w:rsid w:val="005126EA"/>
    <w:rsid w:val="0051356E"/>
    <w:rsid w:val="005139AD"/>
    <w:rsid w:val="00513A49"/>
    <w:rsid w:val="005157FF"/>
    <w:rsid w:val="00516353"/>
    <w:rsid w:val="005173FA"/>
    <w:rsid w:val="00517E22"/>
    <w:rsid w:val="00517EE6"/>
    <w:rsid w:val="005205F7"/>
    <w:rsid w:val="005228B7"/>
    <w:rsid w:val="00522932"/>
    <w:rsid w:val="005231D7"/>
    <w:rsid w:val="00524AAE"/>
    <w:rsid w:val="0052761C"/>
    <w:rsid w:val="005362BF"/>
    <w:rsid w:val="005370E2"/>
    <w:rsid w:val="00540B8C"/>
    <w:rsid w:val="005413DB"/>
    <w:rsid w:val="0054199B"/>
    <w:rsid w:val="00541B69"/>
    <w:rsid w:val="00543DF2"/>
    <w:rsid w:val="005441D1"/>
    <w:rsid w:val="00546250"/>
    <w:rsid w:val="00546530"/>
    <w:rsid w:val="005468F8"/>
    <w:rsid w:val="00546AE8"/>
    <w:rsid w:val="00546CFB"/>
    <w:rsid w:val="00547DBC"/>
    <w:rsid w:val="00550F96"/>
    <w:rsid w:val="00552EE0"/>
    <w:rsid w:val="0055466A"/>
    <w:rsid w:val="00555129"/>
    <w:rsid w:val="00556EEB"/>
    <w:rsid w:val="00557A1C"/>
    <w:rsid w:val="005605EC"/>
    <w:rsid w:val="0056174C"/>
    <w:rsid w:val="00571836"/>
    <w:rsid w:val="00573DDC"/>
    <w:rsid w:val="0057426C"/>
    <w:rsid w:val="00574DF5"/>
    <w:rsid w:val="00577E56"/>
    <w:rsid w:val="005828A8"/>
    <w:rsid w:val="00583349"/>
    <w:rsid w:val="005847A5"/>
    <w:rsid w:val="005851DC"/>
    <w:rsid w:val="00586B6B"/>
    <w:rsid w:val="00587B00"/>
    <w:rsid w:val="0059083F"/>
    <w:rsid w:val="00590FB9"/>
    <w:rsid w:val="00592A30"/>
    <w:rsid w:val="00596111"/>
    <w:rsid w:val="0059751D"/>
    <w:rsid w:val="005A06F3"/>
    <w:rsid w:val="005A15DC"/>
    <w:rsid w:val="005A1A7B"/>
    <w:rsid w:val="005A427A"/>
    <w:rsid w:val="005A4999"/>
    <w:rsid w:val="005A7260"/>
    <w:rsid w:val="005A7F39"/>
    <w:rsid w:val="005B1C48"/>
    <w:rsid w:val="005B2729"/>
    <w:rsid w:val="005B4C92"/>
    <w:rsid w:val="005B4DBB"/>
    <w:rsid w:val="005B5D56"/>
    <w:rsid w:val="005C220E"/>
    <w:rsid w:val="005C2F93"/>
    <w:rsid w:val="005C3EBA"/>
    <w:rsid w:val="005C3F47"/>
    <w:rsid w:val="005C6834"/>
    <w:rsid w:val="005C72F3"/>
    <w:rsid w:val="005D1C98"/>
    <w:rsid w:val="005D2323"/>
    <w:rsid w:val="005D2612"/>
    <w:rsid w:val="005D363E"/>
    <w:rsid w:val="005D4DCA"/>
    <w:rsid w:val="005D5653"/>
    <w:rsid w:val="005D659A"/>
    <w:rsid w:val="005D76A3"/>
    <w:rsid w:val="005E6CB7"/>
    <w:rsid w:val="005E77BE"/>
    <w:rsid w:val="005F0323"/>
    <w:rsid w:val="005F07F8"/>
    <w:rsid w:val="005F0B36"/>
    <w:rsid w:val="005F1AB0"/>
    <w:rsid w:val="005F45ED"/>
    <w:rsid w:val="005F4942"/>
    <w:rsid w:val="0060101A"/>
    <w:rsid w:val="0060198B"/>
    <w:rsid w:val="00602937"/>
    <w:rsid w:val="00603110"/>
    <w:rsid w:val="00604E80"/>
    <w:rsid w:val="00605187"/>
    <w:rsid w:val="006109D2"/>
    <w:rsid w:val="00611227"/>
    <w:rsid w:val="006113CA"/>
    <w:rsid w:val="006114A4"/>
    <w:rsid w:val="00611668"/>
    <w:rsid w:val="00613C8A"/>
    <w:rsid w:val="006148F8"/>
    <w:rsid w:val="00615BAD"/>
    <w:rsid w:val="00620982"/>
    <w:rsid w:val="00621DFA"/>
    <w:rsid w:val="00622EFB"/>
    <w:rsid w:val="00623B07"/>
    <w:rsid w:val="00623D25"/>
    <w:rsid w:val="00624107"/>
    <w:rsid w:val="00624BB1"/>
    <w:rsid w:val="00625E28"/>
    <w:rsid w:val="00626982"/>
    <w:rsid w:val="006278AA"/>
    <w:rsid w:val="00630537"/>
    <w:rsid w:val="00630B81"/>
    <w:rsid w:val="00631515"/>
    <w:rsid w:val="0063234F"/>
    <w:rsid w:val="00632726"/>
    <w:rsid w:val="006340ED"/>
    <w:rsid w:val="00634EC2"/>
    <w:rsid w:val="00636B38"/>
    <w:rsid w:val="0064011E"/>
    <w:rsid w:val="00640E21"/>
    <w:rsid w:val="00641940"/>
    <w:rsid w:val="00642364"/>
    <w:rsid w:val="0064751F"/>
    <w:rsid w:val="00654822"/>
    <w:rsid w:val="00656139"/>
    <w:rsid w:val="00656726"/>
    <w:rsid w:val="00656F01"/>
    <w:rsid w:val="00657BAF"/>
    <w:rsid w:val="00657E63"/>
    <w:rsid w:val="00662139"/>
    <w:rsid w:val="0066402F"/>
    <w:rsid w:val="00665784"/>
    <w:rsid w:val="00665F19"/>
    <w:rsid w:val="00666B2F"/>
    <w:rsid w:val="00666F77"/>
    <w:rsid w:val="006706B1"/>
    <w:rsid w:val="0067289A"/>
    <w:rsid w:val="006732C3"/>
    <w:rsid w:val="00673C2C"/>
    <w:rsid w:val="0067486A"/>
    <w:rsid w:val="00674F5D"/>
    <w:rsid w:val="006802CE"/>
    <w:rsid w:val="00680751"/>
    <w:rsid w:val="00682408"/>
    <w:rsid w:val="006826DD"/>
    <w:rsid w:val="006837C4"/>
    <w:rsid w:val="00684F01"/>
    <w:rsid w:val="006857EB"/>
    <w:rsid w:val="006879B1"/>
    <w:rsid w:val="00692B2E"/>
    <w:rsid w:val="00693347"/>
    <w:rsid w:val="00693F1A"/>
    <w:rsid w:val="00695904"/>
    <w:rsid w:val="006966D3"/>
    <w:rsid w:val="00696CFF"/>
    <w:rsid w:val="00696E2B"/>
    <w:rsid w:val="00696F0B"/>
    <w:rsid w:val="00697BCC"/>
    <w:rsid w:val="006A15AD"/>
    <w:rsid w:val="006A182F"/>
    <w:rsid w:val="006A19EF"/>
    <w:rsid w:val="006A62D5"/>
    <w:rsid w:val="006A71AC"/>
    <w:rsid w:val="006A7ABC"/>
    <w:rsid w:val="006B7126"/>
    <w:rsid w:val="006C01D0"/>
    <w:rsid w:val="006C2D60"/>
    <w:rsid w:val="006C4AE3"/>
    <w:rsid w:val="006C5132"/>
    <w:rsid w:val="006C6D51"/>
    <w:rsid w:val="006C7482"/>
    <w:rsid w:val="006D1086"/>
    <w:rsid w:val="006D2673"/>
    <w:rsid w:val="006D2EEB"/>
    <w:rsid w:val="006D4933"/>
    <w:rsid w:val="006D7EE9"/>
    <w:rsid w:val="006E0484"/>
    <w:rsid w:val="006E1C74"/>
    <w:rsid w:val="006E4C59"/>
    <w:rsid w:val="006F3B15"/>
    <w:rsid w:val="006F5B83"/>
    <w:rsid w:val="006F71C5"/>
    <w:rsid w:val="006F7384"/>
    <w:rsid w:val="0070047F"/>
    <w:rsid w:val="00703FFD"/>
    <w:rsid w:val="0071048D"/>
    <w:rsid w:val="0071239B"/>
    <w:rsid w:val="00713A47"/>
    <w:rsid w:val="00713CC9"/>
    <w:rsid w:val="00716AFF"/>
    <w:rsid w:val="00717862"/>
    <w:rsid w:val="00717D67"/>
    <w:rsid w:val="00720A24"/>
    <w:rsid w:val="00721346"/>
    <w:rsid w:val="00721694"/>
    <w:rsid w:val="00722048"/>
    <w:rsid w:val="007226A4"/>
    <w:rsid w:val="00722846"/>
    <w:rsid w:val="007269ED"/>
    <w:rsid w:val="00726C14"/>
    <w:rsid w:val="007279F0"/>
    <w:rsid w:val="007326C8"/>
    <w:rsid w:val="007335AA"/>
    <w:rsid w:val="00733C5D"/>
    <w:rsid w:val="00734922"/>
    <w:rsid w:val="007367E4"/>
    <w:rsid w:val="00740E73"/>
    <w:rsid w:val="00742217"/>
    <w:rsid w:val="00742A72"/>
    <w:rsid w:val="00742C0B"/>
    <w:rsid w:val="00742E4B"/>
    <w:rsid w:val="00743081"/>
    <w:rsid w:val="00743EDA"/>
    <w:rsid w:val="00745F78"/>
    <w:rsid w:val="007469EA"/>
    <w:rsid w:val="00746DB0"/>
    <w:rsid w:val="00747E4D"/>
    <w:rsid w:val="00750F0C"/>
    <w:rsid w:val="007512B6"/>
    <w:rsid w:val="00753842"/>
    <w:rsid w:val="00753966"/>
    <w:rsid w:val="00753DFD"/>
    <w:rsid w:val="00754753"/>
    <w:rsid w:val="00757723"/>
    <w:rsid w:val="00757E66"/>
    <w:rsid w:val="0076202C"/>
    <w:rsid w:val="00765977"/>
    <w:rsid w:val="00766701"/>
    <w:rsid w:val="00766B3F"/>
    <w:rsid w:val="00766DF5"/>
    <w:rsid w:val="00767265"/>
    <w:rsid w:val="00773730"/>
    <w:rsid w:val="00775061"/>
    <w:rsid w:val="00776D0A"/>
    <w:rsid w:val="007779D9"/>
    <w:rsid w:val="00777C91"/>
    <w:rsid w:val="0078020A"/>
    <w:rsid w:val="0078099D"/>
    <w:rsid w:val="0078296C"/>
    <w:rsid w:val="00787BD7"/>
    <w:rsid w:val="00787C6F"/>
    <w:rsid w:val="00790150"/>
    <w:rsid w:val="00790B97"/>
    <w:rsid w:val="007910C6"/>
    <w:rsid w:val="007A2644"/>
    <w:rsid w:val="007A2659"/>
    <w:rsid w:val="007A3E09"/>
    <w:rsid w:val="007A55FF"/>
    <w:rsid w:val="007A69F4"/>
    <w:rsid w:val="007B14DA"/>
    <w:rsid w:val="007B226D"/>
    <w:rsid w:val="007B347C"/>
    <w:rsid w:val="007B610B"/>
    <w:rsid w:val="007B6B75"/>
    <w:rsid w:val="007C08B1"/>
    <w:rsid w:val="007C1A58"/>
    <w:rsid w:val="007C469B"/>
    <w:rsid w:val="007C5B42"/>
    <w:rsid w:val="007C6ADA"/>
    <w:rsid w:val="007C7785"/>
    <w:rsid w:val="007D076A"/>
    <w:rsid w:val="007D34E7"/>
    <w:rsid w:val="007D3614"/>
    <w:rsid w:val="007D3984"/>
    <w:rsid w:val="007D3DBB"/>
    <w:rsid w:val="007D538E"/>
    <w:rsid w:val="007D6688"/>
    <w:rsid w:val="007E08EE"/>
    <w:rsid w:val="007E3B99"/>
    <w:rsid w:val="007E4E83"/>
    <w:rsid w:val="007E51D8"/>
    <w:rsid w:val="007E63F8"/>
    <w:rsid w:val="007E656D"/>
    <w:rsid w:val="007F1E5D"/>
    <w:rsid w:val="007F2B5A"/>
    <w:rsid w:val="007F425A"/>
    <w:rsid w:val="007F66DF"/>
    <w:rsid w:val="007F740D"/>
    <w:rsid w:val="00804992"/>
    <w:rsid w:val="00804BD5"/>
    <w:rsid w:val="00804C54"/>
    <w:rsid w:val="0080596E"/>
    <w:rsid w:val="00806739"/>
    <w:rsid w:val="00810BBE"/>
    <w:rsid w:val="008134F3"/>
    <w:rsid w:val="0081667A"/>
    <w:rsid w:val="00816AAD"/>
    <w:rsid w:val="00816BA7"/>
    <w:rsid w:val="00816D4F"/>
    <w:rsid w:val="00821902"/>
    <w:rsid w:val="00821BBD"/>
    <w:rsid w:val="0082248C"/>
    <w:rsid w:val="00822E84"/>
    <w:rsid w:val="00823436"/>
    <w:rsid w:val="00825120"/>
    <w:rsid w:val="00825A03"/>
    <w:rsid w:val="0082667C"/>
    <w:rsid w:val="00826D9E"/>
    <w:rsid w:val="00827E14"/>
    <w:rsid w:val="00831EB7"/>
    <w:rsid w:val="00834BC4"/>
    <w:rsid w:val="00837854"/>
    <w:rsid w:val="008407E1"/>
    <w:rsid w:val="00840E80"/>
    <w:rsid w:val="0084164F"/>
    <w:rsid w:val="00841F2F"/>
    <w:rsid w:val="00842F0A"/>
    <w:rsid w:val="00844576"/>
    <w:rsid w:val="00846C87"/>
    <w:rsid w:val="00847B46"/>
    <w:rsid w:val="00850229"/>
    <w:rsid w:val="00854BAE"/>
    <w:rsid w:val="00856BE6"/>
    <w:rsid w:val="008647A0"/>
    <w:rsid w:val="0086614D"/>
    <w:rsid w:val="008714DD"/>
    <w:rsid w:val="00873182"/>
    <w:rsid w:val="008759AC"/>
    <w:rsid w:val="00880CFD"/>
    <w:rsid w:val="008825BD"/>
    <w:rsid w:val="00883711"/>
    <w:rsid w:val="0088384F"/>
    <w:rsid w:val="00884143"/>
    <w:rsid w:val="00885E6E"/>
    <w:rsid w:val="00887007"/>
    <w:rsid w:val="00887204"/>
    <w:rsid w:val="0089012A"/>
    <w:rsid w:val="0089055F"/>
    <w:rsid w:val="0089070D"/>
    <w:rsid w:val="00890B18"/>
    <w:rsid w:val="00890C0F"/>
    <w:rsid w:val="00890FF6"/>
    <w:rsid w:val="008939F9"/>
    <w:rsid w:val="008941D8"/>
    <w:rsid w:val="008951DF"/>
    <w:rsid w:val="00897320"/>
    <w:rsid w:val="008974E7"/>
    <w:rsid w:val="0089762B"/>
    <w:rsid w:val="008A13A9"/>
    <w:rsid w:val="008A1444"/>
    <w:rsid w:val="008A3DFD"/>
    <w:rsid w:val="008A4B41"/>
    <w:rsid w:val="008A5110"/>
    <w:rsid w:val="008A5350"/>
    <w:rsid w:val="008A698A"/>
    <w:rsid w:val="008B212D"/>
    <w:rsid w:val="008B341A"/>
    <w:rsid w:val="008B384A"/>
    <w:rsid w:val="008B3CE4"/>
    <w:rsid w:val="008C023C"/>
    <w:rsid w:val="008C0549"/>
    <w:rsid w:val="008C3F85"/>
    <w:rsid w:val="008C634C"/>
    <w:rsid w:val="008C683D"/>
    <w:rsid w:val="008C7D8D"/>
    <w:rsid w:val="008D02D8"/>
    <w:rsid w:val="008D250A"/>
    <w:rsid w:val="008D2B5F"/>
    <w:rsid w:val="008D36B7"/>
    <w:rsid w:val="008D36CF"/>
    <w:rsid w:val="008D4902"/>
    <w:rsid w:val="008D5599"/>
    <w:rsid w:val="008D561D"/>
    <w:rsid w:val="008D60F1"/>
    <w:rsid w:val="008D7E5C"/>
    <w:rsid w:val="008E0497"/>
    <w:rsid w:val="008E15F9"/>
    <w:rsid w:val="008E1951"/>
    <w:rsid w:val="008E303B"/>
    <w:rsid w:val="008E420F"/>
    <w:rsid w:val="008E5CD7"/>
    <w:rsid w:val="008E698B"/>
    <w:rsid w:val="008F00E8"/>
    <w:rsid w:val="008F07B0"/>
    <w:rsid w:val="008F532E"/>
    <w:rsid w:val="008F6A34"/>
    <w:rsid w:val="008F6C2F"/>
    <w:rsid w:val="0090268C"/>
    <w:rsid w:val="009032E5"/>
    <w:rsid w:val="00903EF7"/>
    <w:rsid w:val="0090409B"/>
    <w:rsid w:val="00905FDB"/>
    <w:rsid w:val="00906489"/>
    <w:rsid w:val="0091192B"/>
    <w:rsid w:val="00912199"/>
    <w:rsid w:val="009136B2"/>
    <w:rsid w:val="00913CA5"/>
    <w:rsid w:val="0091433D"/>
    <w:rsid w:val="009174A5"/>
    <w:rsid w:val="00917B2B"/>
    <w:rsid w:val="0092080D"/>
    <w:rsid w:val="0092152D"/>
    <w:rsid w:val="009216D2"/>
    <w:rsid w:val="00922539"/>
    <w:rsid w:val="00922A39"/>
    <w:rsid w:val="00924815"/>
    <w:rsid w:val="009257A0"/>
    <w:rsid w:val="0092625C"/>
    <w:rsid w:val="00926A00"/>
    <w:rsid w:val="00927C42"/>
    <w:rsid w:val="009326AA"/>
    <w:rsid w:val="0093363D"/>
    <w:rsid w:val="00933FB1"/>
    <w:rsid w:val="00934381"/>
    <w:rsid w:val="00934C1B"/>
    <w:rsid w:val="0094003C"/>
    <w:rsid w:val="00941861"/>
    <w:rsid w:val="00943050"/>
    <w:rsid w:val="00943733"/>
    <w:rsid w:val="00951363"/>
    <w:rsid w:val="0095202C"/>
    <w:rsid w:val="00952710"/>
    <w:rsid w:val="009529C6"/>
    <w:rsid w:val="00955C95"/>
    <w:rsid w:val="00960065"/>
    <w:rsid w:val="009626F4"/>
    <w:rsid w:val="00962F8B"/>
    <w:rsid w:val="009631FE"/>
    <w:rsid w:val="00965946"/>
    <w:rsid w:val="00966957"/>
    <w:rsid w:val="00967BC2"/>
    <w:rsid w:val="00970033"/>
    <w:rsid w:val="00970B83"/>
    <w:rsid w:val="009717E9"/>
    <w:rsid w:val="0097232D"/>
    <w:rsid w:val="00972945"/>
    <w:rsid w:val="00972A9C"/>
    <w:rsid w:val="00974897"/>
    <w:rsid w:val="00975A89"/>
    <w:rsid w:val="00976164"/>
    <w:rsid w:val="00977CDB"/>
    <w:rsid w:val="00977D35"/>
    <w:rsid w:val="00980130"/>
    <w:rsid w:val="009821F3"/>
    <w:rsid w:val="0098238E"/>
    <w:rsid w:val="009838A0"/>
    <w:rsid w:val="00984E31"/>
    <w:rsid w:val="009852C6"/>
    <w:rsid w:val="00987015"/>
    <w:rsid w:val="00990749"/>
    <w:rsid w:val="00990A52"/>
    <w:rsid w:val="00990F21"/>
    <w:rsid w:val="00992FD7"/>
    <w:rsid w:val="0099470B"/>
    <w:rsid w:val="00994A9D"/>
    <w:rsid w:val="00994EF0"/>
    <w:rsid w:val="00995196"/>
    <w:rsid w:val="009A0B9A"/>
    <w:rsid w:val="009A397D"/>
    <w:rsid w:val="009A469B"/>
    <w:rsid w:val="009A486E"/>
    <w:rsid w:val="009A5F3B"/>
    <w:rsid w:val="009B117B"/>
    <w:rsid w:val="009B1A60"/>
    <w:rsid w:val="009B252B"/>
    <w:rsid w:val="009B6C3F"/>
    <w:rsid w:val="009B7451"/>
    <w:rsid w:val="009B7CD9"/>
    <w:rsid w:val="009C3806"/>
    <w:rsid w:val="009C7449"/>
    <w:rsid w:val="009C74A0"/>
    <w:rsid w:val="009D4059"/>
    <w:rsid w:val="009D5687"/>
    <w:rsid w:val="009D6DE4"/>
    <w:rsid w:val="009D7B79"/>
    <w:rsid w:val="009E1951"/>
    <w:rsid w:val="009E3B17"/>
    <w:rsid w:val="009F18CD"/>
    <w:rsid w:val="009F210B"/>
    <w:rsid w:val="009F2445"/>
    <w:rsid w:val="009F58B4"/>
    <w:rsid w:val="009F63A9"/>
    <w:rsid w:val="009F6791"/>
    <w:rsid w:val="009F6B73"/>
    <w:rsid w:val="009F71B8"/>
    <w:rsid w:val="009F7A25"/>
    <w:rsid w:val="009F7F86"/>
    <w:rsid w:val="00A007DB"/>
    <w:rsid w:val="00A01DF7"/>
    <w:rsid w:val="00A01FFC"/>
    <w:rsid w:val="00A026FD"/>
    <w:rsid w:val="00A03AA7"/>
    <w:rsid w:val="00A04B85"/>
    <w:rsid w:val="00A055FD"/>
    <w:rsid w:val="00A0572E"/>
    <w:rsid w:val="00A069AA"/>
    <w:rsid w:val="00A076E4"/>
    <w:rsid w:val="00A10678"/>
    <w:rsid w:val="00A1127D"/>
    <w:rsid w:val="00A154C2"/>
    <w:rsid w:val="00A15EE8"/>
    <w:rsid w:val="00A2072D"/>
    <w:rsid w:val="00A20887"/>
    <w:rsid w:val="00A214BF"/>
    <w:rsid w:val="00A23627"/>
    <w:rsid w:val="00A2418F"/>
    <w:rsid w:val="00A24DF0"/>
    <w:rsid w:val="00A25D1D"/>
    <w:rsid w:val="00A275B5"/>
    <w:rsid w:val="00A279F7"/>
    <w:rsid w:val="00A30E28"/>
    <w:rsid w:val="00A31D96"/>
    <w:rsid w:val="00A32231"/>
    <w:rsid w:val="00A32880"/>
    <w:rsid w:val="00A3608A"/>
    <w:rsid w:val="00A377E7"/>
    <w:rsid w:val="00A37923"/>
    <w:rsid w:val="00A410D9"/>
    <w:rsid w:val="00A416C0"/>
    <w:rsid w:val="00A43A5A"/>
    <w:rsid w:val="00A45A20"/>
    <w:rsid w:val="00A47E32"/>
    <w:rsid w:val="00A5179A"/>
    <w:rsid w:val="00A51FA4"/>
    <w:rsid w:val="00A53794"/>
    <w:rsid w:val="00A56EBA"/>
    <w:rsid w:val="00A6307F"/>
    <w:rsid w:val="00A638F3"/>
    <w:rsid w:val="00A64A48"/>
    <w:rsid w:val="00A65B8D"/>
    <w:rsid w:val="00A66F57"/>
    <w:rsid w:val="00A67D9A"/>
    <w:rsid w:val="00A70263"/>
    <w:rsid w:val="00A70484"/>
    <w:rsid w:val="00A71594"/>
    <w:rsid w:val="00A73F2E"/>
    <w:rsid w:val="00A759B4"/>
    <w:rsid w:val="00A75AD6"/>
    <w:rsid w:val="00A77468"/>
    <w:rsid w:val="00A777A2"/>
    <w:rsid w:val="00A77BCA"/>
    <w:rsid w:val="00A808B6"/>
    <w:rsid w:val="00A80A2D"/>
    <w:rsid w:val="00A81253"/>
    <w:rsid w:val="00A81AB9"/>
    <w:rsid w:val="00A82D6E"/>
    <w:rsid w:val="00A83303"/>
    <w:rsid w:val="00A851C2"/>
    <w:rsid w:val="00A86A1C"/>
    <w:rsid w:val="00A90A53"/>
    <w:rsid w:val="00A911A1"/>
    <w:rsid w:val="00A9236F"/>
    <w:rsid w:val="00A9269F"/>
    <w:rsid w:val="00A92BB2"/>
    <w:rsid w:val="00A93257"/>
    <w:rsid w:val="00A96125"/>
    <w:rsid w:val="00AA012C"/>
    <w:rsid w:val="00AA129C"/>
    <w:rsid w:val="00AA4D2B"/>
    <w:rsid w:val="00AA61B6"/>
    <w:rsid w:val="00AB1BA4"/>
    <w:rsid w:val="00AB3263"/>
    <w:rsid w:val="00AB3674"/>
    <w:rsid w:val="00AB43C2"/>
    <w:rsid w:val="00AB5122"/>
    <w:rsid w:val="00AB54FF"/>
    <w:rsid w:val="00AB6836"/>
    <w:rsid w:val="00AC015F"/>
    <w:rsid w:val="00AC1EC5"/>
    <w:rsid w:val="00AC5602"/>
    <w:rsid w:val="00AC569C"/>
    <w:rsid w:val="00AC658E"/>
    <w:rsid w:val="00AD216B"/>
    <w:rsid w:val="00AD3248"/>
    <w:rsid w:val="00AD332B"/>
    <w:rsid w:val="00AD4E81"/>
    <w:rsid w:val="00AD6346"/>
    <w:rsid w:val="00AD7BDB"/>
    <w:rsid w:val="00AE01CB"/>
    <w:rsid w:val="00AE1EF8"/>
    <w:rsid w:val="00AE46C6"/>
    <w:rsid w:val="00AE4952"/>
    <w:rsid w:val="00AE5F92"/>
    <w:rsid w:val="00AE7D74"/>
    <w:rsid w:val="00AE7E30"/>
    <w:rsid w:val="00AF23A8"/>
    <w:rsid w:val="00AF33FF"/>
    <w:rsid w:val="00AF68AA"/>
    <w:rsid w:val="00AF7A62"/>
    <w:rsid w:val="00B02E1B"/>
    <w:rsid w:val="00B05C73"/>
    <w:rsid w:val="00B05CAD"/>
    <w:rsid w:val="00B10A03"/>
    <w:rsid w:val="00B11893"/>
    <w:rsid w:val="00B16A4B"/>
    <w:rsid w:val="00B237EC"/>
    <w:rsid w:val="00B24810"/>
    <w:rsid w:val="00B24C88"/>
    <w:rsid w:val="00B2502B"/>
    <w:rsid w:val="00B25383"/>
    <w:rsid w:val="00B26138"/>
    <w:rsid w:val="00B2658C"/>
    <w:rsid w:val="00B30C8C"/>
    <w:rsid w:val="00B31445"/>
    <w:rsid w:val="00B326C3"/>
    <w:rsid w:val="00B34499"/>
    <w:rsid w:val="00B35525"/>
    <w:rsid w:val="00B41A6C"/>
    <w:rsid w:val="00B41E6B"/>
    <w:rsid w:val="00B42F82"/>
    <w:rsid w:val="00B5051A"/>
    <w:rsid w:val="00B50801"/>
    <w:rsid w:val="00B528B7"/>
    <w:rsid w:val="00B54156"/>
    <w:rsid w:val="00B54E5A"/>
    <w:rsid w:val="00B57418"/>
    <w:rsid w:val="00B6047D"/>
    <w:rsid w:val="00B61290"/>
    <w:rsid w:val="00B62A60"/>
    <w:rsid w:val="00B63DA6"/>
    <w:rsid w:val="00B64560"/>
    <w:rsid w:val="00B66199"/>
    <w:rsid w:val="00B6674A"/>
    <w:rsid w:val="00B703DC"/>
    <w:rsid w:val="00B73340"/>
    <w:rsid w:val="00B7497B"/>
    <w:rsid w:val="00B74E60"/>
    <w:rsid w:val="00B758BB"/>
    <w:rsid w:val="00B7770A"/>
    <w:rsid w:val="00B77924"/>
    <w:rsid w:val="00B82164"/>
    <w:rsid w:val="00B835A7"/>
    <w:rsid w:val="00B84771"/>
    <w:rsid w:val="00B854CA"/>
    <w:rsid w:val="00B904C9"/>
    <w:rsid w:val="00B93F2A"/>
    <w:rsid w:val="00B94728"/>
    <w:rsid w:val="00B94848"/>
    <w:rsid w:val="00B948C7"/>
    <w:rsid w:val="00B9497D"/>
    <w:rsid w:val="00B94C67"/>
    <w:rsid w:val="00B95237"/>
    <w:rsid w:val="00B97A76"/>
    <w:rsid w:val="00BA0856"/>
    <w:rsid w:val="00BA6ED6"/>
    <w:rsid w:val="00BA7624"/>
    <w:rsid w:val="00BB12B6"/>
    <w:rsid w:val="00BB12F2"/>
    <w:rsid w:val="00BB4D79"/>
    <w:rsid w:val="00BB4E13"/>
    <w:rsid w:val="00BB62FE"/>
    <w:rsid w:val="00BB7282"/>
    <w:rsid w:val="00BB7691"/>
    <w:rsid w:val="00BC0F6D"/>
    <w:rsid w:val="00BC3034"/>
    <w:rsid w:val="00BC362C"/>
    <w:rsid w:val="00BC505D"/>
    <w:rsid w:val="00BC529B"/>
    <w:rsid w:val="00BC6318"/>
    <w:rsid w:val="00BD00EA"/>
    <w:rsid w:val="00BD0BA4"/>
    <w:rsid w:val="00BD2CDF"/>
    <w:rsid w:val="00BD42DF"/>
    <w:rsid w:val="00BD6C8C"/>
    <w:rsid w:val="00BE1472"/>
    <w:rsid w:val="00BE1AEA"/>
    <w:rsid w:val="00BE22EA"/>
    <w:rsid w:val="00BE24D3"/>
    <w:rsid w:val="00BE3194"/>
    <w:rsid w:val="00BE3A95"/>
    <w:rsid w:val="00BE52D4"/>
    <w:rsid w:val="00BE7968"/>
    <w:rsid w:val="00BF0F37"/>
    <w:rsid w:val="00BF1281"/>
    <w:rsid w:val="00BF233A"/>
    <w:rsid w:val="00BF3A0F"/>
    <w:rsid w:val="00BF3F3E"/>
    <w:rsid w:val="00BF404B"/>
    <w:rsid w:val="00BF429C"/>
    <w:rsid w:val="00BF4FF6"/>
    <w:rsid w:val="00BF51C6"/>
    <w:rsid w:val="00BF548C"/>
    <w:rsid w:val="00BF64C8"/>
    <w:rsid w:val="00BF7514"/>
    <w:rsid w:val="00C0056E"/>
    <w:rsid w:val="00C022C5"/>
    <w:rsid w:val="00C02E2B"/>
    <w:rsid w:val="00C040DF"/>
    <w:rsid w:val="00C04F8B"/>
    <w:rsid w:val="00C05AE4"/>
    <w:rsid w:val="00C05F9C"/>
    <w:rsid w:val="00C062C2"/>
    <w:rsid w:val="00C06BBB"/>
    <w:rsid w:val="00C07854"/>
    <w:rsid w:val="00C11A82"/>
    <w:rsid w:val="00C12656"/>
    <w:rsid w:val="00C127D2"/>
    <w:rsid w:val="00C1371B"/>
    <w:rsid w:val="00C15302"/>
    <w:rsid w:val="00C16B3E"/>
    <w:rsid w:val="00C21732"/>
    <w:rsid w:val="00C21BCE"/>
    <w:rsid w:val="00C223C7"/>
    <w:rsid w:val="00C2263B"/>
    <w:rsid w:val="00C23B82"/>
    <w:rsid w:val="00C25ABA"/>
    <w:rsid w:val="00C3006C"/>
    <w:rsid w:val="00C31682"/>
    <w:rsid w:val="00C320FD"/>
    <w:rsid w:val="00C3312E"/>
    <w:rsid w:val="00C33CD6"/>
    <w:rsid w:val="00C41FFC"/>
    <w:rsid w:val="00C4428E"/>
    <w:rsid w:val="00C4430B"/>
    <w:rsid w:val="00C44754"/>
    <w:rsid w:val="00C45949"/>
    <w:rsid w:val="00C467E7"/>
    <w:rsid w:val="00C52CE2"/>
    <w:rsid w:val="00C52ED2"/>
    <w:rsid w:val="00C53236"/>
    <w:rsid w:val="00C5497A"/>
    <w:rsid w:val="00C56712"/>
    <w:rsid w:val="00C568B5"/>
    <w:rsid w:val="00C57085"/>
    <w:rsid w:val="00C57B17"/>
    <w:rsid w:val="00C60AF6"/>
    <w:rsid w:val="00C62203"/>
    <w:rsid w:val="00C62504"/>
    <w:rsid w:val="00C64105"/>
    <w:rsid w:val="00C65A3E"/>
    <w:rsid w:val="00C71C35"/>
    <w:rsid w:val="00C72ED4"/>
    <w:rsid w:val="00C72F41"/>
    <w:rsid w:val="00C749C4"/>
    <w:rsid w:val="00C757C2"/>
    <w:rsid w:val="00C77AE7"/>
    <w:rsid w:val="00C81A81"/>
    <w:rsid w:val="00C82372"/>
    <w:rsid w:val="00C82D1D"/>
    <w:rsid w:val="00C850A8"/>
    <w:rsid w:val="00C86FBA"/>
    <w:rsid w:val="00C87C88"/>
    <w:rsid w:val="00C91DA0"/>
    <w:rsid w:val="00C91E0B"/>
    <w:rsid w:val="00C92434"/>
    <w:rsid w:val="00C93D2C"/>
    <w:rsid w:val="00C950B2"/>
    <w:rsid w:val="00C96012"/>
    <w:rsid w:val="00C97A27"/>
    <w:rsid w:val="00CA0396"/>
    <w:rsid w:val="00CA105E"/>
    <w:rsid w:val="00CA1CE0"/>
    <w:rsid w:val="00CA2146"/>
    <w:rsid w:val="00CA4918"/>
    <w:rsid w:val="00CA6724"/>
    <w:rsid w:val="00CB4E32"/>
    <w:rsid w:val="00CB6CC6"/>
    <w:rsid w:val="00CC1E62"/>
    <w:rsid w:val="00CC223A"/>
    <w:rsid w:val="00CC2DED"/>
    <w:rsid w:val="00CC3ED0"/>
    <w:rsid w:val="00CC54FF"/>
    <w:rsid w:val="00CC6B0F"/>
    <w:rsid w:val="00CD1305"/>
    <w:rsid w:val="00CD475B"/>
    <w:rsid w:val="00CD53AF"/>
    <w:rsid w:val="00CD6B8F"/>
    <w:rsid w:val="00CD6F7D"/>
    <w:rsid w:val="00CD7499"/>
    <w:rsid w:val="00CE14FC"/>
    <w:rsid w:val="00CE3984"/>
    <w:rsid w:val="00CE3CA3"/>
    <w:rsid w:val="00CE48B5"/>
    <w:rsid w:val="00CE6136"/>
    <w:rsid w:val="00CE781E"/>
    <w:rsid w:val="00CF1DFF"/>
    <w:rsid w:val="00CF32B2"/>
    <w:rsid w:val="00CF479F"/>
    <w:rsid w:val="00CF5141"/>
    <w:rsid w:val="00CF547B"/>
    <w:rsid w:val="00CF736D"/>
    <w:rsid w:val="00CF7835"/>
    <w:rsid w:val="00CF7A1C"/>
    <w:rsid w:val="00CF7FE0"/>
    <w:rsid w:val="00D00666"/>
    <w:rsid w:val="00D027A5"/>
    <w:rsid w:val="00D03261"/>
    <w:rsid w:val="00D1063D"/>
    <w:rsid w:val="00D1084F"/>
    <w:rsid w:val="00D125CC"/>
    <w:rsid w:val="00D12C8C"/>
    <w:rsid w:val="00D13635"/>
    <w:rsid w:val="00D14E52"/>
    <w:rsid w:val="00D167D7"/>
    <w:rsid w:val="00D1681D"/>
    <w:rsid w:val="00D20577"/>
    <w:rsid w:val="00D21126"/>
    <w:rsid w:val="00D21500"/>
    <w:rsid w:val="00D22CEB"/>
    <w:rsid w:val="00D251FB"/>
    <w:rsid w:val="00D30DDE"/>
    <w:rsid w:val="00D317A7"/>
    <w:rsid w:val="00D3412A"/>
    <w:rsid w:val="00D3451F"/>
    <w:rsid w:val="00D34977"/>
    <w:rsid w:val="00D35FDA"/>
    <w:rsid w:val="00D41A87"/>
    <w:rsid w:val="00D42F20"/>
    <w:rsid w:val="00D4441F"/>
    <w:rsid w:val="00D46979"/>
    <w:rsid w:val="00D4764C"/>
    <w:rsid w:val="00D50771"/>
    <w:rsid w:val="00D51727"/>
    <w:rsid w:val="00D51A40"/>
    <w:rsid w:val="00D535A1"/>
    <w:rsid w:val="00D53D48"/>
    <w:rsid w:val="00D54043"/>
    <w:rsid w:val="00D545F3"/>
    <w:rsid w:val="00D54B87"/>
    <w:rsid w:val="00D561D9"/>
    <w:rsid w:val="00D60486"/>
    <w:rsid w:val="00D60D35"/>
    <w:rsid w:val="00D61C5F"/>
    <w:rsid w:val="00D6327E"/>
    <w:rsid w:val="00D6369D"/>
    <w:rsid w:val="00D63C87"/>
    <w:rsid w:val="00D65732"/>
    <w:rsid w:val="00D725AB"/>
    <w:rsid w:val="00D72864"/>
    <w:rsid w:val="00D748C1"/>
    <w:rsid w:val="00D75441"/>
    <w:rsid w:val="00D77989"/>
    <w:rsid w:val="00D809BF"/>
    <w:rsid w:val="00D80ABB"/>
    <w:rsid w:val="00D8196F"/>
    <w:rsid w:val="00D84330"/>
    <w:rsid w:val="00D846A0"/>
    <w:rsid w:val="00D849A1"/>
    <w:rsid w:val="00D9356E"/>
    <w:rsid w:val="00D9361E"/>
    <w:rsid w:val="00D9389C"/>
    <w:rsid w:val="00D943D2"/>
    <w:rsid w:val="00D95771"/>
    <w:rsid w:val="00D9720D"/>
    <w:rsid w:val="00DA188E"/>
    <w:rsid w:val="00DA48E5"/>
    <w:rsid w:val="00DA50AC"/>
    <w:rsid w:val="00DA7073"/>
    <w:rsid w:val="00DB0E4F"/>
    <w:rsid w:val="00DB16F5"/>
    <w:rsid w:val="00DB1765"/>
    <w:rsid w:val="00DB2109"/>
    <w:rsid w:val="00DB4777"/>
    <w:rsid w:val="00DB59EE"/>
    <w:rsid w:val="00DB5FBB"/>
    <w:rsid w:val="00DB6B1C"/>
    <w:rsid w:val="00DB7001"/>
    <w:rsid w:val="00DC040D"/>
    <w:rsid w:val="00DC33DF"/>
    <w:rsid w:val="00DD01D8"/>
    <w:rsid w:val="00DD05E2"/>
    <w:rsid w:val="00DD0806"/>
    <w:rsid w:val="00DD1156"/>
    <w:rsid w:val="00DD22AD"/>
    <w:rsid w:val="00DD27CC"/>
    <w:rsid w:val="00DD38F8"/>
    <w:rsid w:val="00DD5172"/>
    <w:rsid w:val="00DD612F"/>
    <w:rsid w:val="00DD61AA"/>
    <w:rsid w:val="00DE0082"/>
    <w:rsid w:val="00DE2AF3"/>
    <w:rsid w:val="00DE30C2"/>
    <w:rsid w:val="00DE3BCB"/>
    <w:rsid w:val="00DE50B8"/>
    <w:rsid w:val="00DE615B"/>
    <w:rsid w:val="00DE6F00"/>
    <w:rsid w:val="00DF08F8"/>
    <w:rsid w:val="00DF1D97"/>
    <w:rsid w:val="00DF29C3"/>
    <w:rsid w:val="00DF2B40"/>
    <w:rsid w:val="00DF42C6"/>
    <w:rsid w:val="00DF5098"/>
    <w:rsid w:val="00DF79F9"/>
    <w:rsid w:val="00DF7C83"/>
    <w:rsid w:val="00E0005C"/>
    <w:rsid w:val="00E00C03"/>
    <w:rsid w:val="00E00F9C"/>
    <w:rsid w:val="00E01EB4"/>
    <w:rsid w:val="00E0201D"/>
    <w:rsid w:val="00E02087"/>
    <w:rsid w:val="00E02237"/>
    <w:rsid w:val="00E02E7A"/>
    <w:rsid w:val="00E03F5B"/>
    <w:rsid w:val="00E048A6"/>
    <w:rsid w:val="00E04AEB"/>
    <w:rsid w:val="00E04BEF"/>
    <w:rsid w:val="00E11D46"/>
    <w:rsid w:val="00E1252D"/>
    <w:rsid w:val="00E1265E"/>
    <w:rsid w:val="00E158F8"/>
    <w:rsid w:val="00E17B48"/>
    <w:rsid w:val="00E17D3E"/>
    <w:rsid w:val="00E211D5"/>
    <w:rsid w:val="00E22385"/>
    <w:rsid w:val="00E238A6"/>
    <w:rsid w:val="00E31DF3"/>
    <w:rsid w:val="00E34D90"/>
    <w:rsid w:val="00E3599D"/>
    <w:rsid w:val="00E36609"/>
    <w:rsid w:val="00E366A5"/>
    <w:rsid w:val="00E36759"/>
    <w:rsid w:val="00E3763F"/>
    <w:rsid w:val="00E37DA3"/>
    <w:rsid w:val="00E4041B"/>
    <w:rsid w:val="00E404AD"/>
    <w:rsid w:val="00E41611"/>
    <w:rsid w:val="00E41D51"/>
    <w:rsid w:val="00E42568"/>
    <w:rsid w:val="00E429DF"/>
    <w:rsid w:val="00E42B45"/>
    <w:rsid w:val="00E444C8"/>
    <w:rsid w:val="00E45D62"/>
    <w:rsid w:val="00E4659E"/>
    <w:rsid w:val="00E4798B"/>
    <w:rsid w:val="00E50D71"/>
    <w:rsid w:val="00E517DE"/>
    <w:rsid w:val="00E51966"/>
    <w:rsid w:val="00E53C7E"/>
    <w:rsid w:val="00E55FB5"/>
    <w:rsid w:val="00E564E1"/>
    <w:rsid w:val="00E5663B"/>
    <w:rsid w:val="00E6017E"/>
    <w:rsid w:val="00E60453"/>
    <w:rsid w:val="00E610E1"/>
    <w:rsid w:val="00E61277"/>
    <w:rsid w:val="00E61448"/>
    <w:rsid w:val="00E61FC7"/>
    <w:rsid w:val="00E62891"/>
    <w:rsid w:val="00E6507E"/>
    <w:rsid w:val="00E66575"/>
    <w:rsid w:val="00E66A91"/>
    <w:rsid w:val="00E67BEA"/>
    <w:rsid w:val="00E70681"/>
    <w:rsid w:val="00E7068D"/>
    <w:rsid w:val="00E70EB3"/>
    <w:rsid w:val="00E72A99"/>
    <w:rsid w:val="00E73316"/>
    <w:rsid w:val="00E759A2"/>
    <w:rsid w:val="00E7607E"/>
    <w:rsid w:val="00E76230"/>
    <w:rsid w:val="00E82951"/>
    <w:rsid w:val="00E8347E"/>
    <w:rsid w:val="00E8460E"/>
    <w:rsid w:val="00E902FA"/>
    <w:rsid w:val="00E91422"/>
    <w:rsid w:val="00E9174D"/>
    <w:rsid w:val="00E939DD"/>
    <w:rsid w:val="00E95B11"/>
    <w:rsid w:val="00EA2CB5"/>
    <w:rsid w:val="00EA3CBE"/>
    <w:rsid w:val="00EA3E56"/>
    <w:rsid w:val="00EA6EAD"/>
    <w:rsid w:val="00EA72A0"/>
    <w:rsid w:val="00EB2839"/>
    <w:rsid w:val="00EB3E40"/>
    <w:rsid w:val="00EB440F"/>
    <w:rsid w:val="00EB5247"/>
    <w:rsid w:val="00EB6110"/>
    <w:rsid w:val="00EB68F7"/>
    <w:rsid w:val="00EB6909"/>
    <w:rsid w:val="00EB69EA"/>
    <w:rsid w:val="00EB7C12"/>
    <w:rsid w:val="00EC1346"/>
    <w:rsid w:val="00EC31B7"/>
    <w:rsid w:val="00EC42D9"/>
    <w:rsid w:val="00EC496B"/>
    <w:rsid w:val="00EC5056"/>
    <w:rsid w:val="00ED2362"/>
    <w:rsid w:val="00ED39FE"/>
    <w:rsid w:val="00ED67E6"/>
    <w:rsid w:val="00EE327E"/>
    <w:rsid w:val="00EE4A95"/>
    <w:rsid w:val="00EF11F9"/>
    <w:rsid w:val="00EF390C"/>
    <w:rsid w:val="00EF58A8"/>
    <w:rsid w:val="00EF75BC"/>
    <w:rsid w:val="00F00040"/>
    <w:rsid w:val="00F00261"/>
    <w:rsid w:val="00F0038A"/>
    <w:rsid w:val="00F00548"/>
    <w:rsid w:val="00F00DA6"/>
    <w:rsid w:val="00F017EA"/>
    <w:rsid w:val="00F022B7"/>
    <w:rsid w:val="00F05057"/>
    <w:rsid w:val="00F05AD6"/>
    <w:rsid w:val="00F06942"/>
    <w:rsid w:val="00F078EC"/>
    <w:rsid w:val="00F07A98"/>
    <w:rsid w:val="00F102F6"/>
    <w:rsid w:val="00F11780"/>
    <w:rsid w:val="00F12E9E"/>
    <w:rsid w:val="00F14CB2"/>
    <w:rsid w:val="00F167BB"/>
    <w:rsid w:val="00F30965"/>
    <w:rsid w:val="00F3097B"/>
    <w:rsid w:val="00F30FA4"/>
    <w:rsid w:val="00F3131C"/>
    <w:rsid w:val="00F3231D"/>
    <w:rsid w:val="00F327B3"/>
    <w:rsid w:val="00F32943"/>
    <w:rsid w:val="00F32A0E"/>
    <w:rsid w:val="00F335E7"/>
    <w:rsid w:val="00F3529F"/>
    <w:rsid w:val="00F36C4B"/>
    <w:rsid w:val="00F36D7D"/>
    <w:rsid w:val="00F400CA"/>
    <w:rsid w:val="00F41A83"/>
    <w:rsid w:val="00F41E27"/>
    <w:rsid w:val="00F43D0C"/>
    <w:rsid w:val="00F47E20"/>
    <w:rsid w:val="00F5096E"/>
    <w:rsid w:val="00F51D61"/>
    <w:rsid w:val="00F551DD"/>
    <w:rsid w:val="00F56B91"/>
    <w:rsid w:val="00F578AF"/>
    <w:rsid w:val="00F57C32"/>
    <w:rsid w:val="00F57DE9"/>
    <w:rsid w:val="00F60410"/>
    <w:rsid w:val="00F610D5"/>
    <w:rsid w:val="00F63D01"/>
    <w:rsid w:val="00F647AE"/>
    <w:rsid w:val="00F64E8C"/>
    <w:rsid w:val="00F676DC"/>
    <w:rsid w:val="00F7219A"/>
    <w:rsid w:val="00F729BB"/>
    <w:rsid w:val="00F7362D"/>
    <w:rsid w:val="00F74076"/>
    <w:rsid w:val="00F74BEE"/>
    <w:rsid w:val="00F77D1C"/>
    <w:rsid w:val="00F815F9"/>
    <w:rsid w:val="00F83973"/>
    <w:rsid w:val="00F83BCB"/>
    <w:rsid w:val="00F84165"/>
    <w:rsid w:val="00F84750"/>
    <w:rsid w:val="00F84820"/>
    <w:rsid w:val="00F848A2"/>
    <w:rsid w:val="00F873C4"/>
    <w:rsid w:val="00F87D2A"/>
    <w:rsid w:val="00F90ED1"/>
    <w:rsid w:val="00F91D64"/>
    <w:rsid w:val="00F94018"/>
    <w:rsid w:val="00F95907"/>
    <w:rsid w:val="00F970C7"/>
    <w:rsid w:val="00FA02AB"/>
    <w:rsid w:val="00FA09DF"/>
    <w:rsid w:val="00FA3650"/>
    <w:rsid w:val="00FA600E"/>
    <w:rsid w:val="00FA69B1"/>
    <w:rsid w:val="00FA6B34"/>
    <w:rsid w:val="00FB42A6"/>
    <w:rsid w:val="00FB64EB"/>
    <w:rsid w:val="00FC0C5C"/>
    <w:rsid w:val="00FC33E4"/>
    <w:rsid w:val="00FC37AB"/>
    <w:rsid w:val="00FC6552"/>
    <w:rsid w:val="00FC6D5C"/>
    <w:rsid w:val="00FC796A"/>
    <w:rsid w:val="00FD12A7"/>
    <w:rsid w:val="00FD150A"/>
    <w:rsid w:val="00FD40D1"/>
    <w:rsid w:val="00FD5AA1"/>
    <w:rsid w:val="00FE0471"/>
    <w:rsid w:val="00FE1D42"/>
    <w:rsid w:val="00FE31D1"/>
    <w:rsid w:val="00FE4396"/>
    <w:rsid w:val="00FE5FF6"/>
    <w:rsid w:val="00FE7A8A"/>
    <w:rsid w:val="00FF0D7A"/>
    <w:rsid w:val="00FF2F09"/>
    <w:rsid w:val="00FF6AB2"/>
    <w:rsid w:val="0B1EA170"/>
    <w:rsid w:val="21C82C1F"/>
    <w:rsid w:val="3849BE50"/>
    <w:rsid w:val="455B1127"/>
    <w:rsid w:val="481C5618"/>
    <w:rsid w:val="58EA3AA7"/>
    <w:rsid w:val="6A15C92F"/>
    <w:rsid w:val="6C583E04"/>
    <w:rsid w:val="74EB5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42D63"/>
  <w15:chartTrackingRefBased/>
  <w15:docId w15:val="{6426EC58-B670-4011-86D2-F53140DB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06284E"/>
    <w:pPr>
      <w:outlineLvl w:val="0"/>
    </w:pPr>
    <w:rPr>
      <w:rFonts w:ascii="Arial" w:hAnsi="Arial"/>
      <w:b/>
      <w:kern w:val="24"/>
      <w:sz w:val="40"/>
    </w:rPr>
  </w:style>
  <w:style w:type="paragraph" w:styleId="Heading2">
    <w:name w:val="heading 2"/>
    <w:aliases w:val="Outline2"/>
    <w:basedOn w:val="Normal"/>
    <w:next w:val="Normal"/>
    <w:qFormat/>
    <w:rsid w:val="0006284E"/>
    <w:pPr>
      <w:outlineLvl w:val="1"/>
    </w:pPr>
    <w:rPr>
      <w:rFonts w:ascii="Arial" w:hAnsi="Arial"/>
      <w:b/>
      <w:color w:val="000000" w:themeColor="text1"/>
      <w:kern w:val="24"/>
      <w:sz w:val="32"/>
    </w:rPr>
  </w:style>
  <w:style w:type="paragraph" w:styleId="Heading3">
    <w:name w:val="heading 3"/>
    <w:aliases w:val="Outline3"/>
    <w:basedOn w:val="Normal"/>
    <w:next w:val="Normal"/>
    <w:qFormat/>
    <w:rsid w:val="00E42B45"/>
    <w:pPr>
      <w:tabs>
        <w:tab w:val="clear" w:pos="720"/>
      </w:tabs>
      <w:outlineLvl w:val="2"/>
    </w:pPr>
    <w:rPr>
      <w:rFonts w:ascii="Arial" w:hAnsi="Arial"/>
      <w:b/>
      <w:kern w:val="24"/>
    </w:rPr>
  </w:style>
  <w:style w:type="paragraph" w:styleId="Heading4">
    <w:name w:val="heading 4"/>
    <w:basedOn w:val="Normal"/>
    <w:next w:val="Normal"/>
    <w:qFormat/>
    <w:rsid w:val="00505B2E"/>
    <w:pPr>
      <w:keepNext/>
      <w:outlineLvl w:val="3"/>
    </w:pPr>
    <w:rPr>
      <w:b/>
      <w:lang w:eastAsia="en-GB"/>
    </w:rPr>
  </w:style>
  <w:style w:type="paragraph" w:styleId="Heading5">
    <w:name w:val="heading 5"/>
    <w:basedOn w:val="Normal"/>
    <w:next w:val="Normal"/>
    <w:qFormat/>
    <w:rsid w:val="00505B2E"/>
    <w:pPr>
      <w:keepNext/>
      <w:outlineLvl w:val="4"/>
    </w:pPr>
    <w:rPr>
      <w:b/>
      <w:lang w:eastAsia="en-GB"/>
    </w:rPr>
  </w:style>
  <w:style w:type="paragraph" w:styleId="Heading6">
    <w:name w:val="heading 6"/>
    <w:basedOn w:val="Normal"/>
    <w:next w:val="Normal"/>
    <w:qFormat/>
    <w:rsid w:val="00505B2E"/>
    <w:pPr>
      <w:keepNext/>
      <w:outlineLvl w:val="5"/>
    </w:pPr>
    <w:rPr>
      <w:b/>
      <w:lang w:eastAsia="en-GB"/>
    </w:rPr>
  </w:style>
  <w:style w:type="paragraph" w:styleId="Heading8">
    <w:name w:val="heading 8"/>
    <w:basedOn w:val="Normal"/>
    <w:next w:val="Normal"/>
    <w:qFormat/>
    <w:rsid w:val="00505B2E"/>
    <w:pPr>
      <w:keepNext/>
      <w:outlineLvl w:val="7"/>
    </w:pPr>
    <w:rPr>
      <w:b/>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842F0A"/>
    <w:rPr>
      <w:color w:val="0000FF"/>
      <w:u w:val="single"/>
    </w:rPr>
  </w:style>
  <w:style w:type="paragraph" w:styleId="BodyTextIndent3">
    <w:name w:val="Body Text Indent 3"/>
    <w:basedOn w:val="Normal"/>
    <w:rsid w:val="00842F0A"/>
    <w:pPr>
      <w:tabs>
        <w:tab w:val="clear" w:pos="720"/>
        <w:tab w:val="clear" w:pos="1440"/>
        <w:tab w:val="left" w:pos="1080"/>
        <w:tab w:val="left" w:pos="12600"/>
      </w:tabs>
      <w:ind w:left="1080" w:hanging="1080"/>
    </w:pPr>
    <w:rPr>
      <w:lang w:eastAsia="en-GB"/>
    </w:rPr>
  </w:style>
  <w:style w:type="paragraph" w:styleId="BodyTextIndent">
    <w:name w:val="Body Text Indent"/>
    <w:basedOn w:val="Normal"/>
    <w:rsid w:val="00F57DE9"/>
    <w:pPr>
      <w:spacing w:after="120"/>
      <w:ind w:left="283"/>
    </w:pPr>
  </w:style>
  <w:style w:type="character" w:styleId="PageNumber">
    <w:name w:val="page number"/>
    <w:basedOn w:val="DefaultParagraphFont"/>
    <w:rsid w:val="00335D22"/>
  </w:style>
  <w:style w:type="table" w:styleId="TableGrid">
    <w:name w:val="Table Grid"/>
    <w:basedOn w:val="TableNormal"/>
    <w:rsid w:val="00335D2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D2EEB"/>
    <w:pPr>
      <w:spacing w:after="120" w:line="480" w:lineRule="auto"/>
      <w:ind w:left="283"/>
    </w:pPr>
  </w:style>
  <w:style w:type="paragraph" w:styleId="BodyText">
    <w:name w:val="Body Text"/>
    <w:basedOn w:val="Normal"/>
    <w:rsid w:val="00624107"/>
    <w:pPr>
      <w:spacing w:after="120"/>
    </w:pPr>
  </w:style>
  <w:style w:type="character" w:styleId="FollowedHyperlink">
    <w:name w:val="FollowedHyperlink"/>
    <w:rsid w:val="004C28B7"/>
    <w:rPr>
      <w:color w:val="606420"/>
      <w:u w:val="single"/>
    </w:rPr>
  </w:style>
  <w:style w:type="paragraph" w:styleId="BalloonText">
    <w:name w:val="Balloon Text"/>
    <w:basedOn w:val="Normal"/>
    <w:semiHidden/>
    <w:rsid w:val="00696F0B"/>
    <w:rPr>
      <w:rFonts w:ascii="Tahoma" w:hAnsi="Tahoma" w:cs="Tahoma"/>
      <w:sz w:val="16"/>
      <w:szCs w:val="16"/>
    </w:rPr>
  </w:style>
  <w:style w:type="character" w:styleId="CommentReference">
    <w:name w:val="annotation reference"/>
    <w:semiHidden/>
    <w:rsid w:val="00F647AE"/>
    <w:rPr>
      <w:sz w:val="16"/>
      <w:szCs w:val="16"/>
    </w:rPr>
  </w:style>
  <w:style w:type="paragraph" w:styleId="CommentText">
    <w:name w:val="annotation text"/>
    <w:basedOn w:val="Normal"/>
    <w:semiHidden/>
    <w:rsid w:val="00F647AE"/>
    <w:rPr>
      <w:sz w:val="20"/>
    </w:rPr>
  </w:style>
  <w:style w:type="paragraph" w:styleId="CommentSubject">
    <w:name w:val="annotation subject"/>
    <w:basedOn w:val="CommentText"/>
    <w:next w:val="CommentText"/>
    <w:semiHidden/>
    <w:rsid w:val="00F647AE"/>
    <w:rPr>
      <w:b/>
      <w:bCs/>
    </w:rPr>
  </w:style>
  <w:style w:type="paragraph" w:styleId="FootnoteText">
    <w:name w:val="footnote text"/>
    <w:basedOn w:val="Normal"/>
    <w:semiHidden/>
    <w:rsid w:val="005362BF"/>
    <w:pPr>
      <w:tabs>
        <w:tab w:val="clear" w:pos="720"/>
        <w:tab w:val="clear" w:pos="1440"/>
        <w:tab w:val="clear" w:pos="2160"/>
        <w:tab w:val="clear" w:pos="2880"/>
        <w:tab w:val="clear" w:pos="4680"/>
        <w:tab w:val="clear" w:pos="5400"/>
        <w:tab w:val="clear" w:pos="9000"/>
      </w:tabs>
      <w:autoSpaceDE w:val="0"/>
      <w:autoSpaceDN w:val="0"/>
      <w:spacing w:line="240" w:lineRule="auto"/>
      <w:jc w:val="left"/>
    </w:pPr>
    <w:rPr>
      <w:sz w:val="20"/>
      <w:lang w:eastAsia="en-GB"/>
    </w:rPr>
  </w:style>
  <w:style w:type="character" w:styleId="FootnoteReference">
    <w:name w:val="footnote reference"/>
    <w:semiHidden/>
    <w:rsid w:val="005362BF"/>
    <w:rPr>
      <w:vertAlign w:val="superscript"/>
    </w:rPr>
  </w:style>
  <w:style w:type="paragraph" w:styleId="BodyText3">
    <w:name w:val="Body Text 3"/>
    <w:basedOn w:val="Normal"/>
    <w:rsid w:val="00505B2E"/>
    <w:pPr>
      <w:spacing w:after="120"/>
    </w:pPr>
    <w:rPr>
      <w:sz w:val="16"/>
      <w:szCs w:val="16"/>
    </w:rPr>
  </w:style>
  <w:style w:type="paragraph" w:styleId="Title">
    <w:name w:val="Title"/>
    <w:basedOn w:val="Normal"/>
    <w:qFormat/>
    <w:rsid w:val="00505B2E"/>
    <w:pPr>
      <w:tabs>
        <w:tab w:val="clear" w:pos="720"/>
        <w:tab w:val="clear" w:pos="1440"/>
        <w:tab w:val="clear" w:pos="2160"/>
        <w:tab w:val="clear" w:pos="2880"/>
        <w:tab w:val="clear" w:pos="4680"/>
        <w:tab w:val="clear" w:pos="5400"/>
        <w:tab w:val="clear" w:pos="9000"/>
      </w:tabs>
      <w:spacing w:line="240" w:lineRule="auto"/>
      <w:jc w:val="center"/>
    </w:pPr>
    <w:rPr>
      <w:b/>
    </w:rPr>
  </w:style>
  <w:style w:type="paragraph" w:styleId="Caption">
    <w:name w:val="caption"/>
    <w:basedOn w:val="Normal"/>
    <w:next w:val="Normal"/>
    <w:qFormat/>
    <w:rsid w:val="00505B2E"/>
    <w:pPr>
      <w:ind w:firstLine="8080"/>
    </w:pPr>
    <w:rPr>
      <w:b/>
      <w:lang w:eastAsia="en-GB"/>
    </w:rPr>
  </w:style>
  <w:style w:type="paragraph" w:styleId="NormalWeb">
    <w:name w:val="Normal (Web)"/>
    <w:basedOn w:val="Normal"/>
    <w:rsid w:val="00DB176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character" w:customStyle="1" w:styleId="Normal1">
    <w:name w:val="Normal1"/>
    <w:rsid w:val="002776B1"/>
    <w:rPr>
      <w:rFonts w:ascii="Helvetica" w:hAnsi="Helvetica"/>
      <w:sz w:val="24"/>
    </w:rPr>
  </w:style>
  <w:style w:type="paragraph" w:styleId="BodyText2">
    <w:name w:val="Body Text 2"/>
    <w:basedOn w:val="Normal"/>
    <w:rsid w:val="006A15AD"/>
    <w:pPr>
      <w:spacing w:after="120" w:line="480" w:lineRule="auto"/>
    </w:pPr>
  </w:style>
  <w:style w:type="paragraph" w:customStyle="1" w:styleId="Grey2a">
    <w:name w:val="Grey 2a"/>
    <w:basedOn w:val="Normal"/>
    <w:next w:val="Normal"/>
    <w:rsid w:val="00410D58"/>
    <w:pPr>
      <w:pageBreakBefore/>
      <w:numPr>
        <w:ilvl w:val="1"/>
        <w:numId w:val="5"/>
      </w:numPr>
      <w:pBdr>
        <w:bottom w:val="single" w:sz="8" w:space="1" w:color="auto"/>
      </w:pBdr>
      <w:spacing w:after="240"/>
    </w:pPr>
    <w:rPr>
      <w:b/>
    </w:rPr>
  </w:style>
  <w:style w:type="paragraph" w:styleId="DocumentMap">
    <w:name w:val="Document Map"/>
    <w:basedOn w:val="Normal"/>
    <w:semiHidden/>
    <w:rsid w:val="00C62504"/>
    <w:pPr>
      <w:shd w:val="clear" w:color="auto" w:fill="000080"/>
    </w:pPr>
    <w:rPr>
      <w:rFonts w:ascii="Tahoma" w:hAnsi="Tahoma" w:cs="Tahoma"/>
    </w:rPr>
  </w:style>
  <w:style w:type="character" w:customStyle="1" w:styleId="indent1">
    <w:name w:val="indent1"/>
    <w:rsid w:val="008F532E"/>
    <w:rPr>
      <w:strike w:val="0"/>
      <w:dstrike w:val="0"/>
      <w:u w:val="none"/>
      <w:effect w:val="none"/>
    </w:rPr>
  </w:style>
  <w:style w:type="paragraph" w:styleId="ListParagraph">
    <w:name w:val="List Paragraph"/>
    <w:basedOn w:val="Normal"/>
    <w:uiPriority w:val="34"/>
    <w:qFormat/>
    <w:rsid w:val="00453E02"/>
    <w:pPr>
      <w:ind w:left="720"/>
      <w:contextualSpacing/>
    </w:pPr>
  </w:style>
  <w:style w:type="character" w:styleId="UnresolvedMention">
    <w:name w:val="Unresolved Mention"/>
    <w:basedOn w:val="DefaultParagraphFont"/>
    <w:uiPriority w:val="99"/>
    <w:semiHidden/>
    <w:unhideWhenUsed/>
    <w:rsid w:val="0006284E"/>
    <w:rPr>
      <w:color w:val="605E5C"/>
      <w:shd w:val="clear" w:color="auto" w:fill="E1DFDD"/>
    </w:rPr>
  </w:style>
  <w:style w:type="paragraph" w:customStyle="1" w:styleId="paragraph">
    <w:name w:val="paragraph"/>
    <w:basedOn w:val="Normal"/>
    <w:rsid w:val="00E42B4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character" w:customStyle="1" w:styleId="normaltextrun">
    <w:name w:val="normaltextrun"/>
    <w:basedOn w:val="DefaultParagraphFont"/>
    <w:rsid w:val="00E42B45"/>
  </w:style>
  <w:style w:type="character" w:customStyle="1" w:styleId="eop">
    <w:name w:val="eop"/>
    <w:basedOn w:val="DefaultParagraphFont"/>
    <w:rsid w:val="00E42B45"/>
  </w:style>
  <w:style w:type="character" w:customStyle="1" w:styleId="tabchar">
    <w:name w:val="tabchar"/>
    <w:basedOn w:val="DefaultParagraphFont"/>
    <w:rsid w:val="009B7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45870">
      <w:bodyDiv w:val="1"/>
      <w:marLeft w:val="0"/>
      <w:marRight w:val="0"/>
      <w:marTop w:val="0"/>
      <w:marBottom w:val="0"/>
      <w:divBdr>
        <w:top w:val="none" w:sz="0" w:space="0" w:color="auto"/>
        <w:left w:val="none" w:sz="0" w:space="0" w:color="auto"/>
        <w:bottom w:val="none" w:sz="0" w:space="0" w:color="auto"/>
        <w:right w:val="none" w:sz="0" w:space="0" w:color="auto"/>
      </w:divBdr>
    </w:div>
    <w:div w:id="16533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A45435586</value>
    </field>
    <field name="Objective-Title">
      <value order="0">AiB - Advisory NEBM recruitment November 2023 - application form</value>
    </field>
    <field name="Objective-Description">
      <value order="0"/>
    </field>
    <field name="Objective-CreationStamp">
      <value order="0">2023-10-02T15:51:50Z</value>
    </field>
    <field name="Objective-IsApproved">
      <value order="0">false</value>
    </field>
    <field name="Objective-IsPublished">
      <value order="0">true</value>
    </field>
    <field name="Objective-DatePublished">
      <value order="0">2023-10-18T11:52:39Z</value>
    </field>
    <field name="Objective-ModificationStamp">
      <value order="0">2023-10-18T11:52:39Z</value>
    </field>
    <field name="Objective-Owner">
      <value order="0">Birrell, Lauren L (U454754)</value>
    </field>
    <field name="Objective-Path">
      <value order="0">Objective Global Folder:SG File Plan:Government, politics and public administration:Central government:Executive agencies:Committees and groups: Executive agencies:Accountant in Bankruptcy (AiB): Non Executive Board Members (NEBM): 2018-2023</value>
    </field>
    <field name="Objective-Parent">
      <value order="0">Accountant in Bankruptcy (AiB): Non Executive Board Members (NEBM): 2018-2023</value>
    </field>
    <field name="Objective-State">
      <value order="0">Published</value>
    </field>
    <field name="Objective-VersionId">
      <value order="0">vA68405068</value>
    </field>
    <field name="Objective-Version">
      <value order="0">2.0</value>
    </field>
    <field name="Objective-VersionNumber">
      <value order="0">2</value>
    </field>
    <field name="Objective-VersionComment">
      <value order="0"/>
    </field>
    <field name="Objective-FileNumber">
      <value order="0">CASE/434224</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745</Words>
  <Characters>4247</Characters>
  <Application>Microsoft Office Word</Application>
  <DocSecurity>0</DocSecurity>
  <Lines>35</Lines>
  <Paragraphs>9</Paragraphs>
  <ScaleCrop>false</ScaleCrop>
  <Company>Scottish Executive</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Avril Coats</dc:creator>
  <cp:keywords/>
  <cp:lastModifiedBy>Allan Holmes</cp:lastModifiedBy>
  <cp:revision>10</cp:revision>
  <cp:lastPrinted>2006-09-13T06:45:00Z</cp:lastPrinted>
  <dcterms:created xsi:type="dcterms:W3CDTF">2024-09-18T14:42:00Z</dcterms:created>
  <dcterms:modified xsi:type="dcterms:W3CDTF">2024-09-18T15:18:00Z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A45435586</vt:lpwstr>
  </property>
  <property fmtid="{D5CDD505-2E9C-101B-9397-08002B2CF9AE}" pid="3" name="Objective-Comment">
    <vt:lpwstr/>
  </property>
  <property fmtid="{D5CDD505-2E9C-101B-9397-08002B2CF9AE}" pid="4" name="Objective-CreationStamp">
    <vt:filetime>2023-10-02T15:51:50Z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2023-10-18T11:52:39Z</vt:filetime>
  </property>
  <property fmtid="{D5CDD505-2E9C-101B-9397-08002B2CF9AE}" pid="8" name="Objective-ModificationStamp">
    <vt:filetime>2023-10-18T11:52:39Z</vt:filetime>
  </property>
  <property fmtid="{D5CDD505-2E9C-101B-9397-08002B2CF9AE}" pid="9" name="Objective-Owner">
    <vt:lpwstr>Birrell, Lauren L (U454754)</vt:lpwstr>
  </property>
  <property fmtid="{D5CDD505-2E9C-101B-9397-08002B2CF9AE}" pid="10" name="Objective-Path">
    <vt:lpwstr>Objective Global Folder:SG File Plan:Government, politics and public administration:Central government:Executive agencies:Committees and groups: Executive agencies:Accountant in Bankruptcy (AiB): Non Executive Board Members (NEBM): 2018-2023</vt:lpwstr>
  </property>
  <property fmtid="{D5CDD505-2E9C-101B-9397-08002B2CF9AE}" pid="11" name="Objective-Parent">
    <vt:lpwstr>Accountant in Bankruptcy (AiB): Non Executive Board Members (NEBM): 2018-2023</vt:lpwstr>
  </property>
  <property fmtid="{D5CDD505-2E9C-101B-9397-08002B2CF9AE}" pid="12" name="Objective-State">
    <vt:lpwstr>Published</vt:lpwstr>
  </property>
  <property fmtid="{D5CDD505-2E9C-101B-9397-08002B2CF9AE}" pid="13" name="Objective-Title">
    <vt:lpwstr>AiB - Advisory NEBM recruitment November 2023 - application form</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CASE/434224</vt:lpwstr>
  </property>
  <property fmtid="{D5CDD505-2E9C-101B-9397-08002B2CF9AE}" pid="18" name="Objective-Classification">
    <vt:lpwstr>OFFICIAL-SENSITIVE</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Description">
    <vt:lpwstr/>
  </property>
  <property fmtid="{D5CDD505-2E9C-101B-9397-08002B2CF9AE}" pid="30" name="Objective-VersionId">
    <vt:lpwstr>vA68405068</vt:lpwstr>
  </property>
  <property fmtid="{D5CDD505-2E9C-101B-9397-08002B2CF9AE}" pid="31" name="Objective-Required Redaction">
    <vt:lpwstr/>
  </property>
</Properties>
</file>