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3712F" w14:textId="5D629DA6" w:rsidR="00027C27" w:rsidRDefault="009B59F4" w:rsidP="006C36FD">
      <w:pPr>
        <w:pStyle w:val="Heading1"/>
        <w:spacing w:before="120" w:after="120" w:line="360" w:lineRule="auto"/>
        <w:jc w:val="center"/>
      </w:pPr>
      <w:r w:rsidRPr="009B59F4">
        <w:t>Debt Solutions Comparison Table</w:t>
      </w:r>
    </w:p>
    <w:tbl>
      <w:tblPr>
        <w:tblStyle w:val="TableGrid"/>
        <w:tblW w:w="10207" w:type="dxa"/>
        <w:tblInd w:w="-856" w:type="dxa"/>
        <w:tblLook w:val="04A0" w:firstRow="1" w:lastRow="0" w:firstColumn="1" w:lastColumn="0" w:noHBand="0" w:noVBand="1"/>
        <w:tblCaption w:val="Debt Solutions Comparison Table"/>
        <w:tblDescription w:val="table describing the Bankruptcy, trust deeds and Debt arrangement scheme incluing their definition, duration, asset, credito rating imact, debt write off, monthly payments, public register, cost, suitability, restrictions, advantages, disadvantages, elgibility criteria and creditor involvement"/>
      </w:tblPr>
      <w:tblGrid>
        <w:gridCol w:w="1911"/>
        <w:gridCol w:w="2684"/>
        <w:gridCol w:w="2806"/>
        <w:gridCol w:w="2806"/>
      </w:tblGrid>
      <w:tr w:rsidR="009B59F4" w:rsidRPr="00D47886" w14:paraId="65080927" w14:textId="77777777" w:rsidTr="006C36FD">
        <w:trPr>
          <w:cantSplit/>
          <w:trHeight w:val="870"/>
          <w:tblHeader/>
        </w:trPr>
        <w:tc>
          <w:tcPr>
            <w:tcW w:w="1418" w:type="dxa"/>
            <w:hideMark/>
          </w:tcPr>
          <w:p w14:paraId="78EF2127" w14:textId="74D1AE52" w:rsidR="009B59F4" w:rsidRPr="00D47886" w:rsidRDefault="009B59F4" w:rsidP="006C36FD">
            <w:pPr>
              <w:spacing w:before="120" w:after="120" w:line="360" w:lineRule="auto"/>
              <w:rPr>
                <w:b/>
                <w:bCs/>
              </w:rPr>
            </w:pPr>
            <w:r w:rsidRPr="332C6E8C">
              <w:rPr>
                <w:b/>
                <w:bCs/>
              </w:rPr>
              <w:t> </w:t>
            </w:r>
            <w:r w:rsidR="0AD15742" w:rsidRPr="332C6E8C">
              <w:rPr>
                <w:b/>
                <w:bCs/>
              </w:rPr>
              <w:t>Category</w:t>
            </w:r>
          </w:p>
        </w:tc>
        <w:tc>
          <w:tcPr>
            <w:tcW w:w="2835" w:type="dxa"/>
            <w:hideMark/>
          </w:tcPr>
          <w:p w14:paraId="5A721739" w14:textId="77777777" w:rsidR="009B59F4" w:rsidRPr="00D47886" w:rsidRDefault="009B59F4" w:rsidP="006C36FD">
            <w:pPr>
              <w:spacing w:before="120" w:after="120" w:line="360" w:lineRule="auto"/>
              <w:rPr>
                <w:b/>
                <w:bCs/>
              </w:rPr>
            </w:pPr>
            <w:r w:rsidRPr="00D47886">
              <w:rPr>
                <w:b/>
                <w:bCs/>
              </w:rPr>
              <w:t>Protected Trust Deed</w:t>
            </w:r>
          </w:p>
        </w:tc>
        <w:tc>
          <w:tcPr>
            <w:tcW w:w="2977" w:type="dxa"/>
            <w:hideMark/>
          </w:tcPr>
          <w:p w14:paraId="65F1BBDF" w14:textId="77777777" w:rsidR="009B59F4" w:rsidRPr="00D47886" w:rsidRDefault="009B59F4" w:rsidP="006C36FD">
            <w:pPr>
              <w:spacing w:before="120" w:after="120" w:line="360" w:lineRule="auto"/>
              <w:rPr>
                <w:b/>
                <w:bCs/>
              </w:rPr>
            </w:pPr>
            <w:r w:rsidRPr="00D47886">
              <w:rPr>
                <w:b/>
                <w:bCs/>
              </w:rPr>
              <w:t>Bankruptcy</w:t>
            </w:r>
          </w:p>
        </w:tc>
        <w:tc>
          <w:tcPr>
            <w:tcW w:w="2977" w:type="dxa"/>
            <w:hideMark/>
          </w:tcPr>
          <w:p w14:paraId="05C155DF" w14:textId="77777777" w:rsidR="009B59F4" w:rsidRPr="00D47886" w:rsidRDefault="009B59F4" w:rsidP="006C36FD">
            <w:pPr>
              <w:spacing w:before="120" w:after="120" w:line="360" w:lineRule="auto"/>
              <w:rPr>
                <w:b/>
                <w:bCs/>
              </w:rPr>
            </w:pPr>
            <w:r w:rsidRPr="00D47886">
              <w:rPr>
                <w:b/>
                <w:bCs/>
              </w:rPr>
              <w:t>Debt Arrangement Scheme (DAS)</w:t>
            </w:r>
          </w:p>
        </w:tc>
      </w:tr>
      <w:tr w:rsidR="009B59F4" w:rsidRPr="00D47886" w14:paraId="1B65CA63" w14:textId="77777777" w:rsidTr="006C36FD">
        <w:trPr>
          <w:trHeight w:val="1500"/>
        </w:trPr>
        <w:tc>
          <w:tcPr>
            <w:tcW w:w="1418" w:type="dxa"/>
            <w:hideMark/>
          </w:tcPr>
          <w:p w14:paraId="0053FF67" w14:textId="77777777" w:rsidR="009B59F4" w:rsidRPr="00D47886" w:rsidRDefault="009B59F4" w:rsidP="006C36FD">
            <w:pPr>
              <w:spacing w:before="120" w:after="120" w:line="360" w:lineRule="auto"/>
              <w:rPr>
                <w:b/>
                <w:bCs/>
              </w:rPr>
            </w:pPr>
            <w:r w:rsidRPr="00D47886">
              <w:rPr>
                <w:b/>
                <w:bCs/>
              </w:rPr>
              <w:t>Definition</w:t>
            </w:r>
          </w:p>
        </w:tc>
        <w:tc>
          <w:tcPr>
            <w:tcW w:w="2835" w:type="dxa"/>
            <w:hideMark/>
          </w:tcPr>
          <w:p w14:paraId="286A4B34" w14:textId="77777777" w:rsidR="009B59F4" w:rsidRPr="00D47886" w:rsidRDefault="009B59F4" w:rsidP="006C36FD">
            <w:pPr>
              <w:spacing w:before="120" w:after="120" w:line="360" w:lineRule="auto"/>
            </w:pPr>
            <w:r>
              <w:t>A formal legal agreement to pay back debts over a set time.</w:t>
            </w:r>
          </w:p>
        </w:tc>
        <w:tc>
          <w:tcPr>
            <w:tcW w:w="2977" w:type="dxa"/>
            <w:hideMark/>
          </w:tcPr>
          <w:p w14:paraId="10D3C3BD" w14:textId="77777777" w:rsidR="009B59F4" w:rsidRPr="00D47886" w:rsidRDefault="009B59F4" w:rsidP="006C36FD">
            <w:pPr>
              <w:spacing w:before="120" w:after="120" w:line="360" w:lineRule="auto"/>
            </w:pPr>
            <w:r w:rsidRPr="00D47886">
              <w:t>A legal status showing you can’t pay your debts.</w:t>
            </w:r>
          </w:p>
        </w:tc>
        <w:tc>
          <w:tcPr>
            <w:tcW w:w="2977" w:type="dxa"/>
            <w:hideMark/>
          </w:tcPr>
          <w:p w14:paraId="2708E5D4" w14:textId="77777777" w:rsidR="009B59F4" w:rsidRPr="00D47886" w:rsidRDefault="009B59F4" w:rsidP="006C36FD">
            <w:pPr>
              <w:spacing w:before="120" w:after="120" w:line="360" w:lineRule="auto"/>
            </w:pPr>
            <w:r>
              <w:t>A government programme to repay debts in full by manageable instalments.</w:t>
            </w:r>
          </w:p>
        </w:tc>
      </w:tr>
      <w:tr w:rsidR="009B59F4" w:rsidRPr="00D47886" w14:paraId="67C8E33F" w14:textId="77777777" w:rsidTr="006C36FD">
        <w:trPr>
          <w:trHeight w:val="1500"/>
        </w:trPr>
        <w:tc>
          <w:tcPr>
            <w:tcW w:w="1418" w:type="dxa"/>
            <w:hideMark/>
          </w:tcPr>
          <w:p w14:paraId="2B11FFAC" w14:textId="77777777" w:rsidR="009B59F4" w:rsidRPr="00D47886" w:rsidRDefault="009B59F4" w:rsidP="006C36FD">
            <w:pPr>
              <w:spacing w:before="120" w:after="120" w:line="360" w:lineRule="auto"/>
              <w:rPr>
                <w:b/>
                <w:bCs/>
              </w:rPr>
            </w:pPr>
            <w:r w:rsidRPr="00D47886">
              <w:rPr>
                <w:b/>
                <w:bCs/>
              </w:rPr>
              <w:t>Duration</w:t>
            </w:r>
          </w:p>
        </w:tc>
        <w:tc>
          <w:tcPr>
            <w:tcW w:w="2835" w:type="dxa"/>
            <w:hideMark/>
          </w:tcPr>
          <w:p w14:paraId="0E4B8414" w14:textId="77777777" w:rsidR="009B59F4" w:rsidRPr="00D47886" w:rsidRDefault="009B59F4" w:rsidP="006C36FD">
            <w:pPr>
              <w:spacing w:before="120" w:after="120" w:line="360" w:lineRule="auto"/>
            </w:pPr>
            <w:r w:rsidRPr="00D47886">
              <w:t>Typically lasts 4 years.</w:t>
            </w:r>
          </w:p>
        </w:tc>
        <w:tc>
          <w:tcPr>
            <w:tcW w:w="2977" w:type="dxa"/>
            <w:hideMark/>
          </w:tcPr>
          <w:p w14:paraId="0216B3A2" w14:textId="77777777" w:rsidR="009B59F4" w:rsidRPr="00D47886" w:rsidRDefault="009B59F4" w:rsidP="006C36FD">
            <w:pPr>
              <w:spacing w:before="120" w:after="120" w:line="360" w:lineRule="auto"/>
            </w:pPr>
            <w:r>
              <w:t>Usually 12 months, depending on cooperation, however payments will last 4 years</w:t>
            </w:r>
          </w:p>
        </w:tc>
        <w:tc>
          <w:tcPr>
            <w:tcW w:w="2977" w:type="dxa"/>
            <w:hideMark/>
          </w:tcPr>
          <w:p w14:paraId="3BF60274" w14:textId="77777777" w:rsidR="009B59F4" w:rsidRPr="00D47886" w:rsidRDefault="009B59F4" w:rsidP="006C36FD">
            <w:pPr>
              <w:spacing w:before="120" w:after="120" w:line="360" w:lineRule="auto"/>
            </w:pPr>
            <w:r w:rsidRPr="00D47886">
              <w:t>Depends on your level of debt and contribution.</w:t>
            </w:r>
          </w:p>
        </w:tc>
      </w:tr>
      <w:tr w:rsidR="009B59F4" w:rsidRPr="00D47886" w14:paraId="745AFD4F" w14:textId="77777777" w:rsidTr="006C36FD">
        <w:trPr>
          <w:trHeight w:val="1500"/>
        </w:trPr>
        <w:tc>
          <w:tcPr>
            <w:tcW w:w="1418" w:type="dxa"/>
            <w:hideMark/>
          </w:tcPr>
          <w:p w14:paraId="20C2E731" w14:textId="77777777" w:rsidR="009B59F4" w:rsidRPr="00D47886" w:rsidRDefault="009B59F4" w:rsidP="006C36FD">
            <w:pPr>
              <w:spacing w:before="120" w:after="120" w:line="360" w:lineRule="auto"/>
              <w:rPr>
                <w:b/>
                <w:bCs/>
              </w:rPr>
            </w:pPr>
            <w:r w:rsidRPr="00D47886">
              <w:rPr>
                <w:b/>
                <w:bCs/>
              </w:rPr>
              <w:t>Assets</w:t>
            </w:r>
          </w:p>
        </w:tc>
        <w:tc>
          <w:tcPr>
            <w:tcW w:w="2835" w:type="dxa"/>
            <w:hideMark/>
          </w:tcPr>
          <w:p w14:paraId="6511CB3E" w14:textId="77777777" w:rsidR="009B59F4" w:rsidRPr="00D47886" w:rsidRDefault="009B59F4" w:rsidP="006C36FD">
            <w:pPr>
              <w:spacing w:before="120" w:after="120" w:line="360" w:lineRule="auto"/>
            </w:pPr>
            <w:r w:rsidRPr="00D47886">
              <w:t>Some belongings may be sold; essentials are protected.</w:t>
            </w:r>
          </w:p>
        </w:tc>
        <w:tc>
          <w:tcPr>
            <w:tcW w:w="2977" w:type="dxa"/>
            <w:hideMark/>
          </w:tcPr>
          <w:p w14:paraId="76AEF9B0" w14:textId="77777777" w:rsidR="009B59F4" w:rsidRPr="00D47886" w:rsidRDefault="009B59F4" w:rsidP="006C36FD">
            <w:pPr>
              <w:spacing w:before="120" w:after="120" w:line="360" w:lineRule="auto"/>
            </w:pPr>
            <w:r>
              <w:t>Some belongings may be sold; essentials are protected.</w:t>
            </w:r>
          </w:p>
        </w:tc>
        <w:tc>
          <w:tcPr>
            <w:tcW w:w="2977" w:type="dxa"/>
            <w:hideMark/>
          </w:tcPr>
          <w:p w14:paraId="31ADD1EB" w14:textId="77777777" w:rsidR="009B59F4" w:rsidRPr="00D47886" w:rsidRDefault="009B59F4" w:rsidP="006C36FD">
            <w:pPr>
              <w:spacing w:before="120" w:after="120" w:line="360" w:lineRule="auto"/>
            </w:pPr>
            <w:r w:rsidRPr="00D47886">
              <w:t>No assets need to be sold unless you choose to.</w:t>
            </w:r>
          </w:p>
        </w:tc>
      </w:tr>
      <w:tr w:rsidR="009B59F4" w:rsidRPr="00D47886" w14:paraId="36253C30" w14:textId="77777777" w:rsidTr="006C36FD">
        <w:trPr>
          <w:trHeight w:val="1500"/>
        </w:trPr>
        <w:tc>
          <w:tcPr>
            <w:tcW w:w="1418" w:type="dxa"/>
            <w:hideMark/>
          </w:tcPr>
          <w:p w14:paraId="61B4B0D7" w14:textId="77777777" w:rsidR="009B59F4" w:rsidRPr="00D47886" w:rsidRDefault="009B59F4" w:rsidP="006C36FD">
            <w:pPr>
              <w:spacing w:before="120" w:after="120" w:line="360" w:lineRule="auto"/>
              <w:rPr>
                <w:b/>
                <w:bCs/>
              </w:rPr>
            </w:pPr>
            <w:r w:rsidRPr="00D47886">
              <w:rPr>
                <w:b/>
                <w:bCs/>
              </w:rPr>
              <w:t>Credit Rating Impact</w:t>
            </w:r>
          </w:p>
        </w:tc>
        <w:tc>
          <w:tcPr>
            <w:tcW w:w="2835" w:type="dxa"/>
            <w:hideMark/>
          </w:tcPr>
          <w:p w14:paraId="19825FF7" w14:textId="77777777" w:rsidR="009B59F4" w:rsidRPr="00D47886" w:rsidRDefault="009B59F4" w:rsidP="006C36FD">
            <w:pPr>
              <w:spacing w:before="120" w:after="120" w:line="360" w:lineRule="auto"/>
            </w:pPr>
            <w:r w:rsidRPr="00D47886">
              <w:t>Stays on your report for 6 years.</w:t>
            </w:r>
          </w:p>
        </w:tc>
        <w:tc>
          <w:tcPr>
            <w:tcW w:w="2977" w:type="dxa"/>
            <w:hideMark/>
          </w:tcPr>
          <w:p w14:paraId="39A84E4A" w14:textId="77777777" w:rsidR="009B59F4" w:rsidRPr="00D47886" w:rsidRDefault="009B59F4" w:rsidP="006C36FD">
            <w:pPr>
              <w:spacing w:before="120" w:after="120" w:line="360" w:lineRule="auto"/>
            </w:pPr>
            <w:r w:rsidRPr="00D47886">
              <w:t>Stays on your report for 6 years.</w:t>
            </w:r>
          </w:p>
        </w:tc>
        <w:tc>
          <w:tcPr>
            <w:tcW w:w="2977" w:type="dxa"/>
            <w:hideMark/>
          </w:tcPr>
          <w:p w14:paraId="08D03245" w14:textId="77777777" w:rsidR="009B59F4" w:rsidRPr="00D47886" w:rsidRDefault="009B59F4" w:rsidP="006C36FD">
            <w:pPr>
              <w:spacing w:before="120" w:after="120" w:line="360" w:lineRule="auto"/>
            </w:pPr>
            <w:r w:rsidRPr="00D47886">
              <w:t>Stays on your report for 6 years.</w:t>
            </w:r>
          </w:p>
        </w:tc>
      </w:tr>
      <w:tr w:rsidR="009B59F4" w:rsidRPr="00D47886" w14:paraId="4AA1A993" w14:textId="77777777" w:rsidTr="006C36FD">
        <w:trPr>
          <w:trHeight w:val="1500"/>
        </w:trPr>
        <w:tc>
          <w:tcPr>
            <w:tcW w:w="1418" w:type="dxa"/>
            <w:hideMark/>
          </w:tcPr>
          <w:p w14:paraId="4D82BCFA" w14:textId="77777777" w:rsidR="009B59F4" w:rsidRPr="00D47886" w:rsidRDefault="009B59F4" w:rsidP="006C36FD">
            <w:pPr>
              <w:spacing w:before="120" w:after="120" w:line="360" w:lineRule="auto"/>
              <w:rPr>
                <w:b/>
                <w:bCs/>
              </w:rPr>
            </w:pPr>
            <w:r w:rsidRPr="00D47886">
              <w:rPr>
                <w:b/>
                <w:bCs/>
              </w:rPr>
              <w:t>Debt Write-Off</w:t>
            </w:r>
          </w:p>
        </w:tc>
        <w:tc>
          <w:tcPr>
            <w:tcW w:w="2835" w:type="dxa"/>
            <w:hideMark/>
          </w:tcPr>
          <w:p w14:paraId="18ECCF00" w14:textId="77777777" w:rsidR="009B59F4" w:rsidRPr="00D47886" w:rsidRDefault="009B59F4" w:rsidP="006C36FD">
            <w:pPr>
              <w:spacing w:before="120" w:after="120" w:line="360" w:lineRule="auto"/>
            </w:pPr>
            <w:r>
              <w:t>Most debts can be written off after the agreement ends.</w:t>
            </w:r>
          </w:p>
        </w:tc>
        <w:tc>
          <w:tcPr>
            <w:tcW w:w="2977" w:type="dxa"/>
            <w:hideMark/>
          </w:tcPr>
          <w:p w14:paraId="4FCDF0D1" w14:textId="77777777" w:rsidR="009B59F4" w:rsidRPr="00D47886" w:rsidRDefault="009B59F4" w:rsidP="006C36FD">
            <w:pPr>
              <w:spacing w:before="120" w:after="120" w:line="360" w:lineRule="auto"/>
            </w:pPr>
            <w:r>
              <w:t>Most debts can be written off after bankruptcy.</w:t>
            </w:r>
          </w:p>
        </w:tc>
        <w:tc>
          <w:tcPr>
            <w:tcW w:w="2977" w:type="dxa"/>
            <w:hideMark/>
          </w:tcPr>
          <w:p w14:paraId="2A9C5626" w14:textId="77777777" w:rsidR="009B59F4" w:rsidRPr="00D47886" w:rsidRDefault="009B59F4" w:rsidP="006C36FD">
            <w:pPr>
              <w:spacing w:before="120" w:after="120" w:line="360" w:lineRule="auto"/>
            </w:pPr>
            <w:r w:rsidRPr="00D47886">
              <w:t>All debts must be paid in full.</w:t>
            </w:r>
          </w:p>
        </w:tc>
      </w:tr>
      <w:tr w:rsidR="009B59F4" w:rsidRPr="00D47886" w14:paraId="617D8740" w14:textId="77777777" w:rsidTr="006C36FD">
        <w:trPr>
          <w:trHeight w:val="1500"/>
        </w:trPr>
        <w:tc>
          <w:tcPr>
            <w:tcW w:w="1418" w:type="dxa"/>
            <w:hideMark/>
          </w:tcPr>
          <w:p w14:paraId="36F347F7" w14:textId="77777777" w:rsidR="009B59F4" w:rsidRPr="00D47886" w:rsidRDefault="009B59F4" w:rsidP="006C36FD">
            <w:pPr>
              <w:spacing w:before="120" w:after="120" w:line="360" w:lineRule="auto"/>
              <w:rPr>
                <w:b/>
                <w:bCs/>
              </w:rPr>
            </w:pPr>
            <w:r w:rsidRPr="00D47886">
              <w:rPr>
                <w:b/>
                <w:bCs/>
              </w:rPr>
              <w:t>Monthly Payments</w:t>
            </w:r>
          </w:p>
        </w:tc>
        <w:tc>
          <w:tcPr>
            <w:tcW w:w="2835" w:type="dxa"/>
            <w:hideMark/>
          </w:tcPr>
          <w:p w14:paraId="1C47FD0B" w14:textId="77777777" w:rsidR="009B59F4" w:rsidRPr="00D47886" w:rsidRDefault="009B59F4" w:rsidP="006C36FD">
            <w:pPr>
              <w:spacing w:before="120" w:after="120" w:line="360" w:lineRule="auto"/>
            </w:pPr>
            <w:r>
              <w:t>Based on what you can afford; can be adjusted. The payment period will last 4 years.</w:t>
            </w:r>
          </w:p>
        </w:tc>
        <w:tc>
          <w:tcPr>
            <w:tcW w:w="2977" w:type="dxa"/>
            <w:hideMark/>
          </w:tcPr>
          <w:p w14:paraId="10C33F7A" w14:textId="77777777" w:rsidR="009B59F4" w:rsidRPr="00D47886" w:rsidRDefault="009B59F4" w:rsidP="006C36FD">
            <w:pPr>
              <w:spacing w:before="120" w:after="120" w:line="360" w:lineRule="auto"/>
            </w:pPr>
            <w:r>
              <w:t>Based on what you can afford; some may pay nothing. The payment period will last 4 years.</w:t>
            </w:r>
          </w:p>
        </w:tc>
        <w:tc>
          <w:tcPr>
            <w:tcW w:w="2977" w:type="dxa"/>
            <w:hideMark/>
          </w:tcPr>
          <w:p w14:paraId="2D66F2CE" w14:textId="77777777" w:rsidR="009B59F4" w:rsidRPr="00D47886" w:rsidRDefault="009B59F4" w:rsidP="006C36FD">
            <w:pPr>
              <w:spacing w:before="120" w:after="120" w:line="360" w:lineRule="auto"/>
            </w:pPr>
            <w:r w:rsidRPr="00D47886">
              <w:t>Based on what you can afford; can be adjusted.</w:t>
            </w:r>
          </w:p>
        </w:tc>
      </w:tr>
      <w:tr w:rsidR="009B59F4" w:rsidRPr="00D47886" w14:paraId="2D7AC29C" w14:textId="77777777" w:rsidTr="006C36FD">
        <w:trPr>
          <w:trHeight w:val="1500"/>
        </w:trPr>
        <w:tc>
          <w:tcPr>
            <w:tcW w:w="1418" w:type="dxa"/>
            <w:hideMark/>
          </w:tcPr>
          <w:p w14:paraId="27BA87DB" w14:textId="77777777" w:rsidR="009B59F4" w:rsidRPr="00D47886" w:rsidRDefault="009B59F4" w:rsidP="006C36FD">
            <w:pPr>
              <w:spacing w:before="120" w:after="120" w:line="360" w:lineRule="auto"/>
              <w:rPr>
                <w:b/>
                <w:bCs/>
              </w:rPr>
            </w:pPr>
            <w:r w:rsidRPr="00D47886">
              <w:rPr>
                <w:b/>
                <w:bCs/>
              </w:rPr>
              <w:lastRenderedPageBreak/>
              <w:t>Public Register</w:t>
            </w:r>
          </w:p>
        </w:tc>
        <w:tc>
          <w:tcPr>
            <w:tcW w:w="2835" w:type="dxa"/>
            <w:hideMark/>
          </w:tcPr>
          <w:p w14:paraId="5E34E6C4" w14:textId="77777777" w:rsidR="009B59F4" w:rsidRPr="00D47886" w:rsidRDefault="009B59F4" w:rsidP="006C36FD">
            <w:pPr>
              <w:spacing w:before="120" w:after="120" w:line="360" w:lineRule="auto"/>
            </w:pPr>
            <w:r>
              <w:t>Details are recorded publicly; address may be withheld in exceptional circumstances.</w:t>
            </w:r>
          </w:p>
        </w:tc>
        <w:tc>
          <w:tcPr>
            <w:tcW w:w="2977" w:type="dxa"/>
            <w:hideMark/>
          </w:tcPr>
          <w:p w14:paraId="2E85CFE3" w14:textId="77777777" w:rsidR="009B59F4" w:rsidRPr="00D47886" w:rsidRDefault="009B59F4" w:rsidP="006C36FD">
            <w:pPr>
              <w:spacing w:before="120" w:after="120" w:line="360" w:lineRule="auto"/>
            </w:pPr>
            <w:r>
              <w:t>Details are recorded publicly; address may be withheld in exceptional circumstances.</w:t>
            </w:r>
          </w:p>
        </w:tc>
        <w:tc>
          <w:tcPr>
            <w:tcW w:w="2977" w:type="dxa"/>
            <w:hideMark/>
          </w:tcPr>
          <w:p w14:paraId="5E84F368" w14:textId="77777777" w:rsidR="009B59F4" w:rsidRPr="00D47886" w:rsidRDefault="009B59F4" w:rsidP="006C36FD">
            <w:pPr>
              <w:spacing w:before="120" w:after="120" w:line="360" w:lineRule="auto"/>
            </w:pPr>
            <w:r>
              <w:t>Details are recorded publicly; address may be withheld in exceptional circumstances.</w:t>
            </w:r>
          </w:p>
        </w:tc>
      </w:tr>
      <w:tr w:rsidR="009B59F4" w:rsidRPr="00D47886" w14:paraId="52C3267C" w14:textId="77777777" w:rsidTr="006C36FD">
        <w:trPr>
          <w:trHeight w:val="1500"/>
        </w:trPr>
        <w:tc>
          <w:tcPr>
            <w:tcW w:w="1418" w:type="dxa"/>
            <w:hideMark/>
          </w:tcPr>
          <w:p w14:paraId="5988AEBD" w14:textId="77777777" w:rsidR="009B59F4" w:rsidRPr="00D47886" w:rsidRDefault="009B59F4" w:rsidP="006C36FD">
            <w:pPr>
              <w:spacing w:before="120" w:after="120" w:line="360" w:lineRule="auto"/>
              <w:rPr>
                <w:b/>
                <w:bCs/>
              </w:rPr>
            </w:pPr>
            <w:r w:rsidRPr="00D47886">
              <w:rPr>
                <w:b/>
                <w:bCs/>
              </w:rPr>
              <w:t>Cost</w:t>
            </w:r>
          </w:p>
        </w:tc>
        <w:tc>
          <w:tcPr>
            <w:tcW w:w="2835" w:type="dxa"/>
            <w:hideMark/>
          </w:tcPr>
          <w:p w14:paraId="20FE2527" w14:textId="77777777" w:rsidR="009B59F4" w:rsidRPr="00D47886" w:rsidRDefault="009B59F4" w:rsidP="006C36FD">
            <w:pPr>
              <w:spacing w:before="120" w:after="120" w:line="360" w:lineRule="auto"/>
            </w:pPr>
            <w:r w:rsidRPr="00D47886">
              <w:t>Fees deducted from your payments.</w:t>
            </w:r>
          </w:p>
        </w:tc>
        <w:tc>
          <w:tcPr>
            <w:tcW w:w="2977" w:type="dxa"/>
            <w:hideMark/>
          </w:tcPr>
          <w:p w14:paraId="50E3FA8C" w14:textId="77777777" w:rsidR="009B59F4" w:rsidRPr="00D47886" w:rsidRDefault="009B59F4" w:rsidP="006C36FD">
            <w:pPr>
              <w:spacing w:before="120" w:after="120" w:line="360" w:lineRule="auto"/>
            </w:pPr>
            <w:r>
              <w:t>Application fees may apply; costs may be deducted from asset sales and monthly contributions.</w:t>
            </w:r>
          </w:p>
        </w:tc>
        <w:tc>
          <w:tcPr>
            <w:tcW w:w="2977" w:type="dxa"/>
            <w:hideMark/>
          </w:tcPr>
          <w:p w14:paraId="550F9B3C" w14:textId="77777777" w:rsidR="009B59F4" w:rsidRPr="00D47886" w:rsidRDefault="009B59F4" w:rsidP="006C36FD">
            <w:pPr>
              <w:spacing w:before="120" w:after="120" w:line="360" w:lineRule="auto"/>
            </w:pPr>
            <w:r w:rsidRPr="00D47886">
              <w:t>Fees taken from your monthly contributions.</w:t>
            </w:r>
          </w:p>
        </w:tc>
      </w:tr>
      <w:tr w:rsidR="009B59F4" w:rsidRPr="00D47886" w14:paraId="50CBBDDB" w14:textId="77777777" w:rsidTr="006C36FD">
        <w:trPr>
          <w:trHeight w:val="1500"/>
        </w:trPr>
        <w:tc>
          <w:tcPr>
            <w:tcW w:w="1418" w:type="dxa"/>
            <w:hideMark/>
          </w:tcPr>
          <w:p w14:paraId="23A84D26" w14:textId="77777777" w:rsidR="009B59F4" w:rsidRPr="00D47886" w:rsidRDefault="009B59F4" w:rsidP="006C36FD">
            <w:pPr>
              <w:spacing w:before="120" w:after="120" w:line="360" w:lineRule="auto"/>
              <w:rPr>
                <w:b/>
                <w:bCs/>
              </w:rPr>
            </w:pPr>
            <w:r w:rsidRPr="00D47886">
              <w:rPr>
                <w:b/>
                <w:bCs/>
              </w:rPr>
              <w:t>Suitable For</w:t>
            </w:r>
          </w:p>
        </w:tc>
        <w:tc>
          <w:tcPr>
            <w:tcW w:w="2835" w:type="dxa"/>
            <w:hideMark/>
          </w:tcPr>
          <w:p w14:paraId="5FECB460" w14:textId="77777777" w:rsidR="009B59F4" w:rsidRPr="00D47886" w:rsidRDefault="009B59F4" w:rsidP="006C36FD">
            <w:pPr>
              <w:spacing w:before="120" w:after="120" w:line="360" w:lineRule="auto"/>
            </w:pPr>
            <w:r>
              <w:t>People with unmanageable debt and some income.</w:t>
            </w:r>
          </w:p>
        </w:tc>
        <w:tc>
          <w:tcPr>
            <w:tcW w:w="2977" w:type="dxa"/>
            <w:hideMark/>
          </w:tcPr>
          <w:p w14:paraId="16D0C009" w14:textId="77777777" w:rsidR="009B59F4" w:rsidRPr="00D47886" w:rsidRDefault="009B59F4" w:rsidP="006C36FD">
            <w:pPr>
              <w:spacing w:before="120" w:after="120" w:line="360" w:lineRule="auto"/>
            </w:pPr>
            <w:r w:rsidRPr="00D47886">
              <w:t>Anyone with unmanageable debt.</w:t>
            </w:r>
          </w:p>
        </w:tc>
        <w:tc>
          <w:tcPr>
            <w:tcW w:w="2977" w:type="dxa"/>
            <w:hideMark/>
          </w:tcPr>
          <w:p w14:paraId="6163E818" w14:textId="77777777" w:rsidR="009B59F4" w:rsidRPr="00D47886" w:rsidRDefault="009B59F4" w:rsidP="006C36FD">
            <w:pPr>
              <w:spacing w:before="120" w:after="120" w:line="360" w:lineRule="auto"/>
            </w:pPr>
            <w:r w:rsidRPr="00D47886">
              <w:t>People with unmanageable debt and some income, wanting to protect assets.</w:t>
            </w:r>
          </w:p>
        </w:tc>
      </w:tr>
      <w:tr w:rsidR="009B59F4" w:rsidRPr="00D47886" w14:paraId="1F287702" w14:textId="77777777" w:rsidTr="006C36FD">
        <w:trPr>
          <w:trHeight w:val="1500"/>
        </w:trPr>
        <w:tc>
          <w:tcPr>
            <w:tcW w:w="1418" w:type="dxa"/>
            <w:hideMark/>
          </w:tcPr>
          <w:p w14:paraId="333F4BEF" w14:textId="77777777" w:rsidR="009B59F4" w:rsidRPr="00D47886" w:rsidRDefault="009B59F4" w:rsidP="006C36FD">
            <w:pPr>
              <w:spacing w:before="120" w:after="120" w:line="360" w:lineRule="auto"/>
              <w:rPr>
                <w:b/>
                <w:bCs/>
              </w:rPr>
            </w:pPr>
            <w:r w:rsidRPr="00D47886">
              <w:rPr>
                <w:b/>
                <w:bCs/>
              </w:rPr>
              <w:t>Restrictions</w:t>
            </w:r>
          </w:p>
        </w:tc>
        <w:tc>
          <w:tcPr>
            <w:tcW w:w="2835" w:type="dxa"/>
            <w:hideMark/>
          </w:tcPr>
          <w:p w14:paraId="1CE26151" w14:textId="77777777" w:rsidR="009B59F4" w:rsidRPr="00D47886" w:rsidRDefault="009B59F4" w:rsidP="006C36FD">
            <w:pPr>
              <w:spacing w:before="120" w:after="120" w:line="360" w:lineRule="auto"/>
            </w:pPr>
            <w:r>
              <w:t>Significant limits on credit; may affect certain jobs.</w:t>
            </w:r>
          </w:p>
        </w:tc>
        <w:tc>
          <w:tcPr>
            <w:tcW w:w="2977" w:type="dxa"/>
            <w:hideMark/>
          </w:tcPr>
          <w:p w14:paraId="33BC2AAE" w14:textId="77777777" w:rsidR="009B59F4" w:rsidRPr="00D47886" w:rsidRDefault="009B59F4" w:rsidP="006C36FD">
            <w:pPr>
              <w:spacing w:before="120" w:after="120" w:line="360" w:lineRule="auto"/>
            </w:pPr>
            <w:r>
              <w:t>Significant limits on credit; may affect certain jobs.</w:t>
            </w:r>
          </w:p>
        </w:tc>
        <w:tc>
          <w:tcPr>
            <w:tcW w:w="2977" w:type="dxa"/>
            <w:hideMark/>
          </w:tcPr>
          <w:p w14:paraId="54BE2F46" w14:textId="77777777" w:rsidR="009B59F4" w:rsidRPr="00D47886" w:rsidRDefault="009B59F4" w:rsidP="006C36FD">
            <w:pPr>
              <w:spacing w:before="120" w:after="120" w:line="360" w:lineRule="auto"/>
            </w:pPr>
            <w:r w:rsidRPr="00D47886">
              <w:t>May affect new credit opportunities.</w:t>
            </w:r>
          </w:p>
        </w:tc>
      </w:tr>
      <w:tr w:rsidR="009B59F4" w:rsidRPr="00D47886" w14:paraId="0031EEA5" w14:textId="77777777" w:rsidTr="006C36FD">
        <w:trPr>
          <w:trHeight w:val="1500"/>
        </w:trPr>
        <w:tc>
          <w:tcPr>
            <w:tcW w:w="1418" w:type="dxa"/>
            <w:hideMark/>
          </w:tcPr>
          <w:p w14:paraId="6E6A54C0" w14:textId="77777777" w:rsidR="009B59F4" w:rsidRPr="00D47886" w:rsidRDefault="009B59F4" w:rsidP="006C36FD">
            <w:pPr>
              <w:spacing w:before="120" w:after="120" w:line="360" w:lineRule="auto"/>
              <w:rPr>
                <w:b/>
                <w:bCs/>
              </w:rPr>
            </w:pPr>
            <w:r w:rsidRPr="00D47886">
              <w:rPr>
                <w:b/>
                <w:bCs/>
              </w:rPr>
              <w:t>Advantages</w:t>
            </w:r>
          </w:p>
        </w:tc>
        <w:tc>
          <w:tcPr>
            <w:tcW w:w="2835" w:type="dxa"/>
            <w:hideMark/>
          </w:tcPr>
          <w:p w14:paraId="0889797F" w14:textId="77777777" w:rsidR="009B59F4" w:rsidRPr="00D47886" w:rsidRDefault="009B59F4" w:rsidP="006C36FD">
            <w:pPr>
              <w:spacing w:before="120" w:after="120" w:line="360" w:lineRule="auto"/>
            </w:pPr>
            <w:r>
              <w:t>Legally binding, potential to write off debt, protects assets.</w:t>
            </w:r>
          </w:p>
        </w:tc>
        <w:tc>
          <w:tcPr>
            <w:tcW w:w="2977" w:type="dxa"/>
            <w:hideMark/>
          </w:tcPr>
          <w:p w14:paraId="1D06B8A2" w14:textId="77777777" w:rsidR="009B59F4" w:rsidRPr="00D47886" w:rsidRDefault="009B59F4" w:rsidP="006C36FD">
            <w:pPr>
              <w:spacing w:before="120" w:after="120" w:line="360" w:lineRule="auto"/>
            </w:pPr>
            <w:r>
              <w:t>Fresh start; legally binding, most debts written off in a year.</w:t>
            </w:r>
          </w:p>
        </w:tc>
        <w:tc>
          <w:tcPr>
            <w:tcW w:w="2977" w:type="dxa"/>
            <w:hideMark/>
          </w:tcPr>
          <w:p w14:paraId="25E5E93F" w14:textId="77777777" w:rsidR="009B59F4" w:rsidRPr="00D47886" w:rsidRDefault="009B59F4" w:rsidP="006C36FD">
            <w:pPr>
              <w:spacing w:before="120" w:after="120" w:line="360" w:lineRule="auto"/>
            </w:pPr>
            <w:r>
              <w:t xml:space="preserve">Legally binding; flexible payments; protects assets. </w:t>
            </w:r>
          </w:p>
        </w:tc>
      </w:tr>
      <w:tr w:rsidR="009B59F4" w:rsidRPr="00D47886" w14:paraId="66D80A15" w14:textId="77777777" w:rsidTr="006C36FD">
        <w:trPr>
          <w:trHeight w:val="1500"/>
        </w:trPr>
        <w:tc>
          <w:tcPr>
            <w:tcW w:w="1418" w:type="dxa"/>
            <w:hideMark/>
          </w:tcPr>
          <w:p w14:paraId="169CD61F" w14:textId="77777777" w:rsidR="009B59F4" w:rsidRPr="00D47886" w:rsidRDefault="009B59F4" w:rsidP="006C36FD">
            <w:pPr>
              <w:spacing w:before="120" w:after="120" w:line="360" w:lineRule="auto"/>
              <w:rPr>
                <w:b/>
                <w:bCs/>
              </w:rPr>
            </w:pPr>
            <w:r w:rsidRPr="00D47886">
              <w:rPr>
                <w:b/>
                <w:bCs/>
              </w:rPr>
              <w:t>Disadvantages</w:t>
            </w:r>
          </w:p>
        </w:tc>
        <w:tc>
          <w:tcPr>
            <w:tcW w:w="2835" w:type="dxa"/>
            <w:hideMark/>
          </w:tcPr>
          <w:p w14:paraId="38EBBDA9" w14:textId="77777777" w:rsidR="009B59F4" w:rsidRPr="00D47886" w:rsidRDefault="009B59F4" w:rsidP="006C36FD">
            <w:pPr>
              <w:spacing w:before="120" w:after="120" w:line="360" w:lineRule="auto"/>
            </w:pPr>
            <w:r>
              <w:t>May affect future credit; fees and possible asset loss. In the event of failure, remaining balance plus interest would be payable.</w:t>
            </w:r>
          </w:p>
        </w:tc>
        <w:tc>
          <w:tcPr>
            <w:tcW w:w="2977" w:type="dxa"/>
            <w:hideMark/>
          </w:tcPr>
          <w:p w14:paraId="46D7D7E7" w14:textId="77777777" w:rsidR="009B59F4" w:rsidRPr="00D47886" w:rsidRDefault="009B59F4" w:rsidP="006C36FD">
            <w:pPr>
              <w:spacing w:before="120" w:after="120" w:line="360" w:lineRule="auto"/>
            </w:pPr>
            <w:r>
              <w:t xml:space="preserve">May affect future credit; fees and asset loss. </w:t>
            </w:r>
          </w:p>
        </w:tc>
        <w:tc>
          <w:tcPr>
            <w:tcW w:w="2977" w:type="dxa"/>
            <w:hideMark/>
          </w:tcPr>
          <w:p w14:paraId="61828292" w14:textId="77777777" w:rsidR="009B59F4" w:rsidRPr="00D47886" w:rsidRDefault="009B59F4" w:rsidP="006C36FD">
            <w:pPr>
              <w:spacing w:before="120" w:after="120" w:line="360" w:lineRule="auto"/>
            </w:pPr>
            <w:r>
              <w:t>May affect future credit; fees apply. May last a long time as debts are paid in full. In the event of failure, remaining balance plus interest would be payable.</w:t>
            </w:r>
          </w:p>
        </w:tc>
      </w:tr>
      <w:tr w:rsidR="009B59F4" w:rsidRPr="00D47886" w14:paraId="42B62E01" w14:textId="77777777" w:rsidTr="006C36FD">
        <w:trPr>
          <w:trHeight w:val="1500"/>
        </w:trPr>
        <w:tc>
          <w:tcPr>
            <w:tcW w:w="1418" w:type="dxa"/>
            <w:hideMark/>
          </w:tcPr>
          <w:p w14:paraId="0907A8D1" w14:textId="77777777" w:rsidR="009B59F4" w:rsidRPr="00D47886" w:rsidRDefault="009B59F4" w:rsidP="006C36FD">
            <w:pPr>
              <w:spacing w:before="120" w:after="120" w:line="360" w:lineRule="auto"/>
              <w:rPr>
                <w:b/>
                <w:bCs/>
              </w:rPr>
            </w:pPr>
            <w:r w:rsidRPr="00D47886">
              <w:rPr>
                <w:b/>
                <w:bCs/>
              </w:rPr>
              <w:lastRenderedPageBreak/>
              <w:t>Eligibility</w:t>
            </w:r>
          </w:p>
        </w:tc>
        <w:tc>
          <w:tcPr>
            <w:tcW w:w="2835" w:type="dxa"/>
            <w:hideMark/>
          </w:tcPr>
          <w:p w14:paraId="16847561" w14:textId="77777777" w:rsidR="009B59F4" w:rsidRPr="00D47886" w:rsidRDefault="009B59F4" w:rsidP="006C36FD">
            <w:pPr>
              <w:spacing w:before="120" w:after="120" w:line="360" w:lineRule="auto"/>
            </w:pPr>
            <w:r w:rsidRPr="00D47886">
              <w:t>Owe at least £5,000 with some income.</w:t>
            </w:r>
          </w:p>
        </w:tc>
        <w:tc>
          <w:tcPr>
            <w:tcW w:w="2977" w:type="dxa"/>
            <w:hideMark/>
          </w:tcPr>
          <w:p w14:paraId="7297D6D0" w14:textId="77777777" w:rsidR="009B59F4" w:rsidRPr="00D47886" w:rsidRDefault="009B59F4" w:rsidP="006C36FD">
            <w:pPr>
              <w:spacing w:before="120" w:after="120" w:line="360" w:lineRule="auto"/>
            </w:pPr>
            <w:r>
              <w:t>No minimum debt for the  Minimal Asset Process (MAP). Owe at least £3,000 for full administration bankruptcies; should be unable to pay debts in full.</w:t>
            </w:r>
          </w:p>
        </w:tc>
        <w:tc>
          <w:tcPr>
            <w:tcW w:w="2977" w:type="dxa"/>
            <w:hideMark/>
          </w:tcPr>
          <w:p w14:paraId="4618DBD4" w14:textId="77777777" w:rsidR="009B59F4" w:rsidRPr="00D47886" w:rsidRDefault="009B59F4" w:rsidP="006C36FD">
            <w:pPr>
              <w:spacing w:before="120" w:after="120" w:line="360" w:lineRule="auto"/>
            </w:pPr>
            <w:r>
              <w:t>No minimum debt; must be able to pay debts in full over an extended period of time.</w:t>
            </w:r>
          </w:p>
        </w:tc>
      </w:tr>
      <w:tr w:rsidR="009B59F4" w:rsidRPr="00D47886" w14:paraId="01CFF2F2" w14:textId="77777777" w:rsidTr="006C36FD">
        <w:trPr>
          <w:trHeight w:val="1500"/>
        </w:trPr>
        <w:tc>
          <w:tcPr>
            <w:tcW w:w="1418" w:type="dxa"/>
            <w:hideMark/>
          </w:tcPr>
          <w:p w14:paraId="620FBBF8" w14:textId="77777777" w:rsidR="009B59F4" w:rsidRPr="00D47886" w:rsidRDefault="009B59F4" w:rsidP="006C36FD">
            <w:pPr>
              <w:spacing w:before="120" w:after="120" w:line="360" w:lineRule="auto"/>
              <w:rPr>
                <w:b/>
                <w:bCs/>
              </w:rPr>
            </w:pPr>
            <w:r w:rsidRPr="00D47886">
              <w:rPr>
                <w:b/>
                <w:bCs/>
              </w:rPr>
              <w:t>Creditor Involvement</w:t>
            </w:r>
          </w:p>
        </w:tc>
        <w:tc>
          <w:tcPr>
            <w:tcW w:w="2835" w:type="dxa"/>
            <w:hideMark/>
          </w:tcPr>
          <w:p w14:paraId="0DA8D949" w14:textId="77777777" w:rsidR="009B59F4" w:rsidRPr="00D47886" w:rsidRDefault="009B59F4" w:rsidP="006C36FD">
            <w:pPr>
              <w:spacing w:before="120" w:after="120" w:line="360" w:lineRule="auto"/>
            </w:pPr>
            <w:r w:rsidRPr="00D47886">
              <w:t>Most creditors must agree.</w:t>
            </w:r>
          </w:p>
        </w:tc>
        <w:tc>
          <w:tcPr>
            <w:tcW w:w="2977" w:type="dxa"/>
            <w:hideMark/>
          </w:tcPr>
          <w:p w14:paraId="21A48A3B" w14:textId="77777777" w:rsidR="009B59F4" w:rsidRPr="00D47886" w:rsidRDefault="009B59F4" w:rsidP="006C36FD">
            <w:pPr>
              <w:spacing w:before="120" w:after="120" w:line="360" w:lineRule="auto"/>
            </w:pPr>
            <w:r>
              <w:t>No creditor agreement needed; creditors can’t pursue debts.</w:t>
            </w:r>
          </w:p>
        </w:tc>
        <w:tc>
          <w:tcPr>
            <w:tcW w:w="2977" w:type="dxa"/>
            <w:hideMark/>
          </w:tcPr>
          <w:p w14:paraId="4057C290" w14:textId="77777777" w:rsidR="009B59F4" w:rsidRPr="00D47886" w:rsidRDefault="009B59F4" w:rsidP="006C36FD">
            <w:pPr>
              <w:spacing w:before="120" w:after="120" w:line="360" w:lineRule="auto"/>
            </w:pPr>
            <w:r w:rsidRPr="00D47886">
              <w:t>Creditors can vote on approval of your payment plan.</w:t>
            </w:r>
          </w:p>
        </w:tc>
      </w:tr>
    </w:tbl>
    <w:p w14:paraId="034B79B0" w14:textId="0D380270" w:rsidR="332C6E8C" w:rsidRDefault="332C6E8C" w:rsidP="006C36FD">
      <w:pPr>
        <w:spacing w:before="120" w:after="120" w:line="360" w:lineRule="auto"/>
      </w:pPr>
    </w:p>
    <w:p w14:paraId="361C5B80" w14:textId="77777777" w:rsidR="009B59F4" w:rsidRPr="009B59F4" w:rsidRDefault="009B59F4" w:rsidP="006C36FD">
      <w:pPr>
        <w:spacing w:before="120" w:after="120" w:line="360" w:lineRule="auto"/>
      </w:pPr>
    </w:p>
    <w:sectPr w:rsidR="009B59F4" w:rsidRPr="009B59F4"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795104726">
    <w:abstractNumId w:val="1"/>
  </w:num>
  <w:num w:numId="2" w16cid:durableId="103113989">
    <w:abstractNumId w:val="0"/>
  </w:num>
  <w:num w:numId="3" w16cid:durableId="1583903819">
    <w:abstractNumId w:val="0"/>
  </w:num>
  <w:num w:numId="4" w16cid:durableId="1920292133">
    <w:abstractNumId w:val="0"/>
  </w:num>
  <w:num w:numId="5" w16cid:durableId="1044133596">
    <w:abstractNumId w:val="1"/>
  </w:num>
  <w:num w:numId="6" w16cid:durableId="47985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86"/>
    <w:rsid w:val="00027C27"/>
    <w:rsid w:val="00030648"/>
    <w:rsid w:val="0005791A"/>
    <w:rsid w:val="000C0CF4"/>
    <w:rsid w:val="00231BA7"/>
    <w:rsid w:val="0027267D"/>
    <w:rsid w:val="00281579"/>
    <w:rsid w:val="002D2FA4"/>
    <w:rsid w:val="00306C61"/>
    <w:rsid w:val="00344D6E"/>
    <w:rsid w:val="0037582B"/>
    <w:rsid w:val="003B17C4"/>
    <w:rsid w:val="003E6CC1"/>
    <w:rsid w:val="003F57B4"/>
    <w:rsid w:val="00417504"/>
    <w:rsid w:val="004179AF"/>
    <w:rsid w:val="00476034"/>
    <w:rsid w:val="004D1364"/>
    <w:rsid w:val="005719D5"/>
    <w:rsid w:val="006312A3"/>
    <w:rsid w:val="0065722A"/>
    <w:rsid w:val="00661FC7"/>
    <w:rsid w:val="006625E3"/>
    <w:rsid w:val="006C36FD"/>
    <w:rsid w:val="006F2485"/>
    <w:rsid w:val="006F3C54"/>
    <w:rsid w:val="00750E51"/>
    <w:rsid w:val="00767431"/>
    <w:rsid w:val="00776CF3"/>
    <w:rsid w:val="007E7032"/>
    <w:rsid w:val="0081600A"/>
    <w:rsid w:val="00857548"/>
    <w:rsid w:val="0086080B"/>
    <w:rsid w:val="008613B2"/>
    <w:rsid w:val="008F459E"/>
    <w:rsid w:val="008F6E9E"/>
    <w:rsid w:val="009141E8"/>
    <w:rsid w:val="009725A8"/>
    <w:rsid w:val="009B59F4"/>
    <w:rsid w:val="009B7615"/>
    <w:rsid w:val="009C1011"/>
    <w:rsid w:val="00A932B2"/>
    <w:rsid w:val="00AA766D"/>
    <w:rsid w:val="00B51BDC"/>
    <w:rsid w:val="00B561C0"/>
    <w:rsid w:val="00B773CE"/>
    <w:rsid w:val="00BA4F84"/>
    <w:rsid w:val="00C454B3"/>
    <w:rsid w:val="00C66922"/>
    <w:rsid w:val="00C91823"/>
    <w:rsid w:val="00D008AB"/>
    <w:rsid w:val="00D47886"/>
    <w:rsid w:val="00D662C3"/>
    <w:rsid w:val="00E4200E"/>
    <w:rsid w:val="00E76001"/>
    <w:rsid w:val="00EA5F21"/>
    <w:rsid w:val="00FA4BC1"/>
    <w:rsid w:val="060D8138"/>
    <w:rsid w:val="063E47D5"/>
    <w:rsid w:val="0AD15742"/>
    <w:rsid w:val="12D83D1F"/>
    <w:rsid w:val="1474BAF6"/>
    <w:rsid w:val="1496260D"/>
    <w:rsid w:val="18B248D8"/>
    <w:rsid w:val="197D54D8"/>
    <w:rsid w:val="1B823C4D"/>
    <w:rsid w:val="2192CF9A"/>
    <w:rsid w:val="25FBDC37"/>
    <w:rsid w:val="27EEBEEB"/>
    <w:rsid w:val="29176DD5"/>
    <w:rsid w:val="2DCA6C71"/>
    <w:rsid w:val="2E3894AA"/>
    <w:rsid w:val="2F96D381"/>
    <w:rsid w:val="3166BE90"/>
    <w:rsid w:val="317E5D2E"/>
    <w:rsid w:val="332C6E8C"/>
    <w:rsid w:val="3471BB80"/>
    <w:rsid w:val="39178CEC"/>
    <w:rsid w:val="3BDB19DB"/>
    <w:rsid w:val="3C0F9018"/>
    <w:rsid w:val="3F1991FE"/>
    <w:rsid w:val="4222B110"/>
    <w:rsid w:val="47ED024D"/>
    <w:rsid w:val="4BAC170A"/>
    <w:rsid w:val="4C3192B1"/>
    <w:rsid w:val="597E6402"/>
    <w:rsid w:val="5B99088B"/>
    <w:rsid w:val="5D97A63D"/>
    <w:rsid w:val="5EDBF73F"/>
    <w:rsid w:val="5F23FD7F"/>
    <w:rsid w:val="60423923"/>
    <w:rsid w:val="60F7ED9F"/>
    <w:rsid w:val="62F51620"/>
    <w:rsid w:val="6307C570"/>
    <w:rsid w:val="6D685508"/>
    <w:rsid w:val="6ECCB203"/>
    <w:rsid w:val="6F8D476A"/>
    <w:rsid w:val="70E97747"/>
    <w:rsid w:val="710D3A66"/>
    <w:rsid w:val="7372AADB"/>
    <w:rsid w:val="78A614B6"/>
    <w:rsid w:val="7AA50680"/>
    <w:rsid w:val="7CB0E687"/>
    <w:rsid w:val="7EEE32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16E6"/>
  <w15:chartTrackingRefBased/>
  <w15:docId w15:val="{2DA97378-CCD1-43C1-8232-AADA2F58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9B59F4"/>
    <w:pPr>
      <w:outlineLvl w:val="0"/>
    </w:pPr>
    <w:rPr>
      <w:b/>
      <w:kern w:val="24"/>
      <w:sz w:val="32"/>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D4788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4788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4788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4788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4788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4788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9B59F4"/>
    <w:rPr>
      <w:rFonts w:ascii="Arial" w:hAnsi="Arial" w:cs="Times New Roman"/>
      <w:b/>
      <w:kern w:val="24"/>
      <w:sz w:val="32"/>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D47886"/>
    <w:rPr>
      <w:rFonts w:eastAsiaTheme="majorEastAsia" w:cstheme="majorBidi"/>
      <w:i/>
      <w:iCs/>
      <w:color w:val="0F4761" w:themeColor="accent1" w:themeShade="BF"/>
      <w:sz w:val="24"/>
      <w:szCs w:val="20"/>
    </w:rPr>
  </w:style>
  <w:style w:type="character" w:customStyle="1" w:styleId="Heading5Char">
    <w:name w:val="Heading 5 Char"/>
    <w:basedOn w:val="DefaultParagraphFont"/>
    <w:link w:val="Heading5"/>
    <w:uiPriority w:val="9"/>
    <w:semiHidden/>
    <w:rsid w:val="00D47886"/>
    <w:rPr>
      <w:rFonts w:eastAsiaTheme="majorEastAsia" w:cstheme="majorBidi"/>
      <w:color w:val="0F4761" w:themeColor="accent1" w:themeShade="BF"/>
      <w:sz w:val="24"/>
      <w:szCs w:val="20"/>
    </w:rPr>
  </w:style>
  <w:style w:type="character" w:customStyle="1" w:styleId="Heading6Char">
    <w:name w:val="Heading 6 Char"/>
    <w:basedOn w:val="DefaultParagraphFont"/>
    <w:link w:val="Heading6"/>
    <w:uiPriority w:val="9"/>
    <w:semiHidden/>
    <w:rsid w:val="00D47886"/>
    <w:rPr>
      <w:rFonts w:eastAsiaTheme="majorEastAsia" w:cstheme="majorBidi"/>
      <w:i/>
      <w:iCs/>
      <w:color w:val="595959" w:themeColor="text1" w:themeTint="A6"/>
      <w:sz w:val="24"/>
      <w:szCs w:val="20"/>
    </w:rPr>
  </w:style>
  <w:style w:type="character" w:customStyle="1" w:styleId="Heading7Char">
    <w:name w:val="Heading 7 Char"/>
    <w:basedOn w:val="DefaultParagraphFont"/>
    <w:link w:val="Heading7"/>
    <w:uiPriority w:val="9"/>
    <w:semiHidden/>
    <w:rsid w:val="00D47886"/>
    <w:rPr>
      <w:rFonts w:eastAsiaTheme="majorEastAsia" w:cstheme="majorBidi"/>
      <w:color w:val="595959" w:themeColor="text1" w:themeTint="A6"/>
      <w:sz w:val="24"/>
      <w:szCs w:val="20"/>
    </w:rPr>
  </w:style>
  <w:style w:type="character" w:customStyle="1" w:styleId="Heading8Char">
    <w:name w:val="Heading 8 Char"/>
    <w:basedOn w:val="DefaultParagraphFont"/>
    <w:link w:val="Heading8"/>
    <w:uiPriority w:val="9"/>
    <w:semiHidden/>
    <w:rsid w:val="00D47886"/>
    <w:rPr>
      <w:rFonts w:eastAsiaTheme="majorEastAsia" w:cstheme="majorBidi"/>
      <w:i/>
      <w:iCs/>
      <w:color w:val="272727" w:themeColor="text1" w:themeTint="D8"/>
      <w:sz w:val="24"/>
      <w:szCs w:val="20"/>
    </w:rPr>
  </w:style>
  <w:style w:type="character" w:customStyle="1" w:styleId="Heading9Char">
    <w:name w:val="Heading 9 Char"/>
    <w:basedOn w:val="DefaultParagraphFont"/>
    <w:link w:val="Heading9"/>
    <w:uiPriority w:val="9"/>
    <w:semiHidden/>
    <w:rsid w:val="00D47886"/>
    <w:rPr>
      <w:rFonts w:eastAsiaTheme="majorEastAsia" w:cstheme="majorBidi"/>
      <w:color w:val="272727" w:themeColor="text1" w:themeTint="D8"/>
      <w:sz w:val="24"/>
      <w:szCs w:val="20"/>
    </w:rPr>
  </w:style>
  <w:style w:type="paragraph" w:styleId="Title">
    <w:name w:val="Title"/>
    <w:basedOn w:val="Normal"/>
    <w:next w:val="Normal"/>
    <w:link w:val="TitleChar"/>
    <w:uiPriority w:val="10"/>
    <w:qFormat/>
    <w:rsid w:val="00D478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8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88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8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8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7886"/>
    <w:rPr>
      <w:rFonts w:ascii="Arial" w:hAnsi="Arial" w:cs="Times New Roman"/>
      <w:i/>
      <w:iCs/>
      <w:color w:val="404040" w:themeColor="text1" w:themeTint="BF"/>
      <w:sz w:val="24"/>
      <w:szCs w:val="20"/>
    </w:rPr>
  </w:style>
  <w:style w:type="paragraph" w:styleId="ListParagraph">
    <w:name w:val="List Paragraph"/>
    <w:basedOn w:val="Normal"/>
    <w:uiPriority w:val="34"/>
    <w:qFormat/>
    <w:rsid w:val="00D47886"/>
    <w:pPr>
      <w:ind w:left="720"/>
      <w:contextualSpacing/>
    </w:pPr>
  </w:style>
  <w:style w:type="character" w:styleId="IntenseEmphasis">
    <w:name w:val="Intense Emphasis"/>
    <w:basedOn w:val="DefaultParagraphFont"/>
    <w:uiPriority w:val="21"/>
    <w:qFormat/>
    <w:rsid w:val="00D47886"/>
    <w:rPr>
      <w:i/>
      <w:iCs/>
      <w:color w:val="0F4761" w:themeColor="accent1" w:themeShade="BF"/>
    </w:rPr>
  </w:style>
  <w:style w:type="paragraph" w:styleId="IntenseQuote">
    <w:name w:val="Intense Quote"/>
    <w:basedOn w:val="Normal"/>
    <w:next w:val="Normal"/>
    <w:link w:val="IntenseQuoteChar"/>
    <w:uiPriority w:val="30"/>
    <w:qFormat/>
    <w:rsid w:val="00D478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886"/>
    <w:rPr>
      <w:rFonts w:ascii="Arial" w:hAnsi="Arial" w:cs="Times New Roman"/>
      <w:i/>
      <w:iCs/>
      <w:color w:val="0F4761" w:themeColor="accent1" w:themeShade="BF"/>
      <w:sz w:val="24"/>
      <w:szCs w:val="20"/>
    </w:rPr>
  </w:style>
  <w:style w:type="character" w:styleId="IntenseReference">
    <w:name w:val="Intense Reference"/>
    <w:basedOn w:val="DefaultParagraphFont"/>
    <w:uiPriority w:val="32"/>
    <w:qFormat/>
    <w:rsid w:val="00D47886"/>
    <w:rPr>
      <w:b/>
      <w:bCs/>
      <w:smallCaps/>
      <w:color w:val="0F4761" w:themeColor="accent1" w:themeShade="BF"/>
      <w:spacing w:val="5"/>
    </w:rPr>
  </w:style>
  <w:style w:type="table" w:styleId="TableGrid">
    <w:name w:val="Table Grid"/>
    <w:basedOn w:val="TableNormal"/>
    <w:uiPriority w:val="39"/>
    <w:rsid w:val="00D4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080B"/>
    <w:rPr>
      <w:rFonts w:ascii="Arial" w:hAnsi="Arial" w:cs="Times New Roman"/>
      <w:sz w:val="24"/>
      <w:szCs w:val="20"/>
    </w:rPr>
  </w:style>
  <w:style w:type="character" w:styleId="CommentReference">
    <w:name w:val="annotation reference"/>
    <w:basedOn w:val="DefaultParagraphFont"/>
    <w:uiPriority w:val="99"/>
    <w:semiHidden/>
    <w:unhideWhenUsed/>
    <w:rsid w:val="009C1011"/>
    <w:rPr>
      <w:sz w:val="16"/>
      <w:szCs w:val="16"/>
    </w:rPr>
  </w:style>
  <w:style w:type="paragraph" w:styleId="CommentText">
    <w:name w:val="annotation text"/>
    <w:basedOn w:val="Normal"/>
    <w:link w:val="CommentTextChar"/>
    <w:uiPriority w:val="99"/>
    <w:unhideWhenUsed/>
    <w:rsid w:val="009C1011"/>
    <w:rPr>
      <w:sz w:val="20"/>
    </w:rPr>
  </w:style>
  <w:style w:type="character" w:customStyle="1" w:styleId="CommentTextChar">
    <w:name w:val="Comment Text Char"/>
    <w:basedOn w:val="DefaultParagraphFont"/>
    <w:link w:val="CommentText"/>
    <w:uiPriority w:val="99"/>
    <w:rsid w:val="009C1011"/>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C1011"/>
    <w:rPr>
      <w:b/>
      <w:bCs/>
    </w:rPr>
  </w:style>
  <w:style w:type="character" w:customStyle="1" w:styleId="CommentSubjectChar">
    <w:name w:val="Comment Subject Char"/>
    <w:basedOn w:val="CommentTextChar"/>
    <w:link w:val="CommentSubject"/>
    <w:uiPriority w:val="99"/>
    <w:semiHidden/>
    <w:rsid w:val="009C1011"/>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73973">
      <w:bodyDiv w:val="1"/>
      <w:marLeft w:val="0"/>
      <w:marRight w:val="0"/>
      <w:marTop w:val="0"/>
      <w:marBottom w:val="0"/>
      <w:divBdr>
        <w:top w:val="none" w:sz="0" w:space="0" w:color="auto"/>
        <w:left w:val="none" w:sz="0" w:space="0" w:color="auto"/>
        <w:bottom w:val="none" w:sz="0" w:space="0" w:color="auto"/>
        <w:right w:val="none" w:sz="0" w:space="0" w:color="auto"/>
      </w:divBdr>
    </w:div>
    <w:div w:id="10203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435</Words>
  <Characters>2484</Characters>
  <Application>Microsoft Office Word</Application>
  <DocSecurity>0</DocSecurity>
  <Lines>20</Lines>
  <Paragraphs>5</Paragraphs>
  <ScaleCrop>false</ScaleCrop>
  <Company>Scottish Government</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Cook</dc:creator>
  <cp:keywords/>
  <dc:description/>
  <cp:lastModifiedBy>Allan Holmes</cp:lastModifiedBy>
  <cp:revision>2</cp:revision>
  <dcterms:created xsi:type="dcterms:W3CDTF">2025-01-15T08:37:00Z</dcterms:created>
  <dcterms:modified xsi:type="dcterms:W3CDTF">2025-01-15T08:37:00Z</dcterms:modified>
</cp:coreProperties>
</file>